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48A91" w14:textId="26773143" w:rsidR="00A2208A" w:rsidRPr="00E446E8" w:rsidRDefault="00F002EE" w:rsidP="00A2208A">
      <w:pPr>
        <w:tabs>
          <w:tab w:val="center" w:pos="4153"/>
          <w:tab w:val="right" w:pos="9923"/>
        </w:tabs>
        <w:spacing w:after="120" w:line="240" w:lineRule="auto"/>
        <w:jc w:val="both"/>
        <w:rPr>
          <w:rFonts w:eastAsia="Malgun Gothic"/>
          <w:b/>
          <w:bCs/>
          <w:sz w:val="28"/>
          <w:lang w:eastAsia="ko-KR"/>
        </w:rPr>
      </w:pPr>
      <w:r>
        <w:rPr>
          <w:rFonts w:eastAsia="Malgun Gothic"/>
          <w:b/>
          <w:bCs/>
          <w:sz w:val="28"/>
        </w:rPr>
        <w:t xml:space="preserve">3GPP TSG RAN WG5 </w:t>
      </w:r>
      <w:r w:rsidRPr="00F002EE">
        <w:rPr>
          <w:rFonts w:eastAsia="Malgun Gothic"/>
          <w:b/>
          <w:bCs/>
          <w:sz w:val="28"/>
        </w:rPr>
        <w:t>#3-5G-NR Adhoc</w:t>
      </w:r>
      <w:r w:rsidR="00A2208A" w:rsidRPr="00F002EE">
        <w:rPr>
          <w:rFonts w:eastAsia="Malgun Gothic"/>
          <w:b/>
          <w:bCs/>
          <w:sz w:val="28"/>
        </w:rPr>
        <w:tab/>
      </w:r>
      <w:r w:rsidR="00A2208A" w:rsidRPr="00E446E8">
        <w:rPr>
          <w:rFonts w:eastAsia="Malgun Gothic"/>
          <w:b/>
          <w:bCs/>
          <w:sz w:val="28"/>
        </w:rPr>
        <w:t>R5-18</w:t>
      </w:r>
      <w:r w:rsidR="001E18D8">
        <w:rPr>
          <w:rFonts w:eastAsia="Malgun Gothic"/>
          <w:b/>
          <w:bCs/>
          <w:sz w:val="28"/>
        </w:rPr>
        <w:t>5999</w:t>
      </w:r>
      <w:r w:rsidR="00432A57" w:rsidRPr="00432A57">
        <w:rPr>
          <w:rFonts w:eastAsia="Malgun Gothic"/>
          <w:b/>
          <w:bCs/>
          <w:sz w:val="28"/>
          <w:highlight w:val="yellow"/>
        </w:rPr>
        <w:t>r1</w:t>
      </w:r>
    </w:p>
    <w:p w14:paraId="4A54CA72" w14:textId="48A0194E" w:rsidR="00A2208A" w:rsidRPr="00E446E8" w:rsidRDefault="00F002EE" w:rsidP="00A2208A">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Jaipur</w:t>
      </w:r>
      <w:r w:rsidR="00725DCB" w:rsidRPr="00725DCB">
        <w:rPr>
          <w:rFonts w:eastAsia="Malgun Gothic"/>
          <w:b/>
          <w:bCs/>
          <w:sz w:val="28"/>
          <w:lang w:eastAsia="ko-KR"/>
        </w:rPr>
        <w:t xml:space="preserve">, </w:t>
      </w:r>
      <w:r>
        <w:rPr>
          <w:rFonts w:eastAsia="Malgun Gothic"/>
          <w:b/>
          <w:bCs/>
          <w:sz w:val="28"/>
          <w:lang w:eastAsia="ko-KR"/>
        </w:rPr>
        <w:t>India</w:t>
      </w:r>
      <w:r w:rsidR="00725DCB" w:rsidRPr="00725DCB">
        <w:rPr>
          <w:rFonts w:eastAsia="Malgun Gothic"/>
          <w:b/>
          <w:bCs/>
          <w:sz w:val="28"/>
          <w:lang w:eastAsia="ko-KR"/>
        </w:rPr>
        <w:t xml:space="preserve">, </w:t>
      </w:r>
      <w:r>
        <w:rPr>
          <w:rFonts w:eastAsia="Malgun Gothic"/>
          <w:b/>
          <w:bCs/>
          <w:sz w:val="28"/>
          <w:lang w:eastAsia="ko-KR"/>
        </w:rPr>
        <w:t>8</w:t>
      </w:r>
      <w:r w:rsidR="00725DCB" w:rsidRPr="00725DCB">
        <w:rPr>
          <w:rFonts w:eastAsia="Malgun Gothic"/>
          <w:b/>
          <w:bCs/>
          <w:sz w:val="28"/>
          <w:vertAlign w:val="superscript"/>
          <w:lang w:eastAsia="ko-KR"/>
        </w:rPr>
        <w:t>th</w:t>
      </w:r>
      <w:r w:rsidR="00725DCB">
        <w:rPr>
          <w:rFonts w:eastAsia="Malgun Gothic"/>
          <w:b/>
          <w:bCs/>
          <w:sz w:val="28"/>
          <w:lang w:eastAsia="ko-KR"/>
        </w:rPr>
        <w:t xml:space="preserve"> – </w:t>
      </w:r>
      <w:r>
        <w:rPr>
          <w:rFonts w:eastAsia="Malgun Gothic"/>
          <w:b/>
          <w:bCs/>
          <w:sz w:val="28"/>
          <w:lang w:eastAsia="ko-KR"/>
        </w:rPr>
        <w:t>1</w:t>
      </w:r>
      <w:r w:rsidR="009B225E">
        <w:rPr>
          <w:rFonts w:eastAsia="Malgun Gothic"/>
          <w:b/>
          <w:bCs/>
          <w:sz w:val="28"/>
          <w:lang w:eastAsia="ko-KR"/>
        </w:rPr>
        <w:t>2</w:t>
      </w:r>
      <w:r w:rsidR="00725DCB" w:rsidRPr="00725DCB">
        <w:rPr>
          <w:rFonts w:eastAsia="Malgun Gothic"/>
          <w:b/>
          <w:bCs/>
          <w:sz w:val="28"/>
          <w:vertAlign w:val="superscript"/>
          <w:lang w:eastAsia="ko-KR"/>
        </w:rPr>
        <w:t>th</w:t>
      </w:r>
      <w:r w:rsidR="00725DCB">
        <w:rPr>
          <w:rFonts w:eastAsia="Malgun Gothic"/>
          <w:b/>
          <w:bCs/>
          <w:sz w:val="28"/>
          <w:lang w:eastAsia="ko-KR"/>
        </w:rPr>
        <w:t xml:space="preserve"> </w:t>
      </w:r>
      <w:r>
        <w:rPr>
          <w:rFonts w:eastAsia="Malgun Gothic"/>
          <w:b/>
          <w:bCs/>
          <w:sz w:val="28"/>
          <w:lang w:eastAsia="ko-KR"/>
        </w:rPr>
        <w:t>October</w:t>
      </w:r>
      <w:r w:rsidR="00725DCB" w:rsidRPr="00725DCB">
        <w:rPr>
          <w:rFonts w:eastAsia="Malgun Gothic"/>
          <w:b/>
          <w:bCs/>
          <w:sz w:val="28"/>
          <w:lang w:eastAsia="ko-KR"/>
        </w:rPr>
        <w:t xml:space="preserve"> 2018</w:t>
      </w:r>
    </w:p>
    <w:p w14:paraId="31E7553A" w14:textId="77777777" w:rsidR="00A2208A" w:rsidRPr="00E446E8" w:rsidRDefault="00A2208A" w:rsidP="00A2208A">
      <w:pPr>
        <w:rPr>
          <w:bCs/>
        </w:rPr>
      </w:pPr>
      <w:r w:rsidRPr="00E446E8">
        <w:rPr>
          <w:b/>
        </w:rPr>
        <w:t>Source:</w:t>
      </w:r>
      <w:r w:rsidRPr="00E446E8">
        <w:rPr>
          <w:b/>
        </w:rPr>
        <w:tab/>
      </w:r>
      <w:r w:rsidRPr="00E446E8">
        <w:rPr>
          <w:b/>
        </w:rPr>
        <w:tab/>
      </w:r>
      <w:r w:rsidRPr="00E446E8">
        <w:t>Rohde &amp; Schwarz</w:t>
      </w:r>
    </w:p>
    <w:p w14:paraId="12BD556F" w14:textId="40E057D3" w:rsidR="00A2208A" w:rsidRPr="00E446E8" w:rsidRDefault="00A2208A" w:rsidP="00A2208A">
      <w:pPr>
        <w:ind w:left="2160" w:hanging="2160"/>
        <w:rPr>
          <w:b/>
        </w:rPr>
      </w:pPr>
      <w:r w:rsidRPr="00E446E8">
        <w:rPr>
          <w:b/>
        </w:rPr>
        <w:t>Title:</w:t>
      </w:r>
      <w:r w:rsidRPr="00E446E8">
        <w:rPr>
          <w:b/>
        </w:rPr>
        <w:tab/>
      </w:r>
      <w:r w:rsidR="00F002EE">
        <w:t>Characterization of the quality of quiet zone for IFF</w:t>
      </w:r>
    </w:p>
    <w:p w14:paraId="0483421E" w14:textId="08991E05" w:rsidR="00A2208A" w:rsidRPr="00E446E8" w:rsidRDefault="00A2208A" w:rsidP="00A2208A">
      <w:pPr>
        <w:rPr>
          <w:bCs/>
          <w:lang w:eastAsia="ja-JP"/>
        </w:rPr>
      </w:pPr>
      <w:r w:rsidRPr="00E446E8">
        <w:rPr>
          <w:b/>
        </w:rPr>
        <w:t>Agenda Item:</w:t>
      </w:r>
      <w:r w:rsidR="00BB2F5E">
        <w:tab/>
      </w:r>
      <w:r w:rsidR="00BB2F5E">
        <w:tab/>
        <w:t>5.</w:t>
      </w:r>
      <w:r w:rsidR="00F002EE">
        <w:t>1.14</w:t>
      </w:r>
    </w:p>
    <w:p w14:paraId="3A8C349E" w14:textId="77777777" w:rsidR="00A2208A" w:rsidRPr="00E446E8" w:rsidRDefault="00A2208A" w:rsidP="00A2208A">
      <w:pPr>
        <w:rPr>
          <w:sz w:val="18"/>
          <w:szCs w:val="18"/>
        </w:rPr>
      </w:pPr>
      <w:r w:rsidRPr="00E446E8">
        <w:rPr>
          <w:b/>
        </w:rPr>
        <w:t>Document for:</w:t>
      </w:r>
      <w:r w:rsidRPr="00E446E8">
        <w:tab/>
        <w:t>Endorsement</w:t>
      </w:r>
    </w:p>
    <w:p w14:paraId="7CA60390" w14:textId="77777777" w:rsidR="00B81FC7" w:rsidRPr="00E446E8" w:rsidRDefault="00B81FC7" w:rsidP="00B81FC7">
      <w:pPr>
        <w:pStyle w:val="berschrift1"/>
        <w:rPr>
          <w:rFonts w:cs="Arial"/>
          <w:lang w:val="en-US"/>
        </w:rPr>
      </w:pPr>
      <w:r w:rsidRPr="00E446E8">
        <w:rPr>
          <w:rFonts w:cs="Arial"/>
          <w:lang w:val="en-US"/>
        </w:rPr>
        <w:t>Introduction</w:t>
      </w:r>
    </w:p>
    <w:p w14:paraId="7EB7E9E7" w14:textId="230AC88F" w:rsidR="00F002EE" w:rsidRDefault="00F002EE" w:rsidP="008159B1">
      <w:pPr>
        <w:jc w:val="both"/>
      </w:pPr>
      <w:bookmarkStart w:id="0" w:name="OLE_LINK10"/>
      <w:bookmarkStart w:id="1" w:name="OLE_LINK11"/>
      <w:r>
        <w:t xml:space="preserve">The measurement uncertainty associated to the interaction of the device under test </w:t>
      </w:r>
      <w:r w:rsidR="00BF3FA7">
        <w:t>with</w:t>
      </w:r>
      <w:r>
        <w:t xml:space="preserve"> the OTA environment consisting of positioner, </w:t>
      </w:r>
      <w:r w:rsidR="009F2C05">
        <w:t xml:space="preserve">two </w:t>
      </w:r>
      <w:r>
        <w:t xml:space="preserve">LTE anchor antennas, </w:t>
      </w:r>
      <w:r w:rsidR="009F2C05">
        <w:t xml:space="preserve">one </w:t>
      </w:r>
      <w:r w:rsidR="00BF3FA7">
        <w:t xml:space="preserve">mm-wave </w:t>
      </w:r>
      <w:r w:rsidR="009F2C05">
        <w:t>link antenna</w:t>
      </w:r>
      <w:r>
        <w:t xml:space="preserve"> and the anechoic chamber is represented by the contributor quality of quiet zone. In this paper, measurement results </w:t>
      </w:r>
      <w:r w:rsidR="00BF3FA7">
        <w:t>for the quality of quiet zone of an in</w:t>
      </w:r>
      <w:r w:rsidR="00F00728">
        <w:t>direct far field (IFF) system are</w:t>
      </w:r>
      <w:r w:rsidR="00BF3FA7">
        <w:t xml:space="preserve"> provided.</w:t>
      </w:r>
    </w:p>
    <w:p w14:paraId="59D92B3E" w14:textId="238EFAE2" w:rsidR="00FC45FA" w:rsidRPr="00E446E8" w:rsidRDefault="00725DCB" w:rsidP="00FC45FA">
      <w:pPr>
        <w:pStyle w:val="berschrift1"/>
        <w:rPr>
          <w:rFonts w:cs="Arial"/>
          <w:lang w:val="en-US"/>
        </w:rPr>
      </w:pPr>
      <w:r>
        <w:rPr>
          <w:lang w:val="en-US"/>
        </w:rPr>
        <w:t>Discussion</w:t>
      </w:r>
    </w:p>
    <w:p w14:paraId="3688F217" w14:textId="3AF68BF2" w:rsidR="00BF3FA7" w:rsidRDefault="00BF3FA7" w:rsidP="008829FA">
      <w:pPr>
        <w:rPr>
          <w:lang w:eastAsia="en-US"/>
        </w:rPr>
      </w:pPr>
      <w:r>
        <w:rPr>
          <w:lang w:eastAsia="en-US"/>
        </w:rPr>
        <w:t>The measurements have been performed with a Rohde &amp; Schwarz CATR chamber equipped with</w:t>
      </w:r>
      <w:r w:rsidR="00397E2F">
        <w:rPr>
          <w:lang w:eastAsia="en-US"/>
        </w:rPr>
        <w:t xml:space="preserve"> a combined axis positioning system and</w:t>
      </w:r>
      <w:r>
        <w:rPr>
          <w:lang w:eastAsia="en-US"/>
        </w:rPr>
        <w:t xml:space="preserve"> a rolled-edge reflector with dimensions of 42 cm x 43 cm designed for a quiet zone </w:t>
      </w:r>
      <w:r w:rsidR="008979C6">
        <w:rPr>
          <w:lang w:eastAsia="en-US"/>
        </w:rPr>
        <w:t xml:space="preserve">size </w:t>
      </w:r>
      <w:r>
        <w:rPr>
          <w:lang w:eastAsia="en-US"/>
        </w:rPr>
        <w:t xml:space="preserve">of 15 cm. </w:t>
      </w:r>
      <w:r w:rsidR="007463C7">
        <w:rPr>
          <w:lang w:eastAsia="en-US"/>
        </w:rPr>
        <w:t xml:space="preserve">Three additional antennas for LTE anchor and mm-wave links </w:t>
      </w:r>
      <w:r w:rsidR="008979C6">
        <w:rPr>
          <w:lang w:eastAsia="en-US"/>
        </w:rPr>
        <w:t>are</w:t>
      </w:r>
      <w:r w:rsidR="007463C7">
        <w:rPr>
          <w:lang w:eastAsia="en-US"/>
        </w:rPr>
        <w:t xml:space="preserve"> present in the anechoic chamber throughout </w:t>
      </w:r>
      <w:r w:rsidR="008979C6">
        <w:rPr>
          <w:lang w:eastAsia="en-US"/>
        </w:rPr>
        <w:t>all</w:t>
      </w:r>
      <w:r w:rsidR="007463C7">
        <w:rPr>
          <w:lang w:eastAsia="en-US"/>
        </w:rPr>
        <w:t xml:space="preserve"> measurements. </w:t>
      </w:r>
      <w:r>
        <w:rPr>
          <w:lang w:eastAsia="en-US"/>
        </w:rPr>
        <w:t xml:space="preserve">The transmission is measured with a Rohde &amp; Schwarz ZVA67 vector network analyzer with a measurement bandwidth of 100 Hz. </w:t>
      </w:r>
    </w:p>
    <w:p w14:paraId="4B1C530B" w14:textId="270554DC" w:rsidR="00BF3FA7" w:rsidRDefault="00BF3FA7" w:rsidP="00BF3FA7">
      <w:pPr>
        <w:rPr>
          <w:lang w:eastAsia="en-US"/>
        </w:rPr>
      </w:pPr>
      <w:r w:rsidRPr="00BF3FA7">
        <w:rPr>
          <w:lang w:eastAsia="en-US"/>
        </w:rPr>
        <w:t xml:space="preserve">The reference antenna </w:t>
      </w:r>
      <w:r w:rsidRPr="00D00445">
        <w:rPr>
          <w:lang w:eastAsia="en-US"/>
        </w:rPr>
        <w:t xml:space="preserve">applied </w:t>
      </w:r>
      <w:r w:rsidRPr="00BF3FA7">
        <w:rPr>
          <w:lang w:eastAsia="en-US"/>
        </w:rPr>
        <w:t>for the quality of quiet zone measurements fulfills the masks for directivity and half power beam width defined by RAN4 in TR 38.810 [1].</w:t>
      </w:r>
      <w:r w:rsidRPr="00D00445">
        <w:rPr>
          <w:lang w:eastAsia="en-US"/>
        </w:rPr>
        <w:t xml:space="preserve"> Both </w:t>
      </w:r>
      <w:r w:rsidR="007463C7">
        <w:rPr>
          <w:lang w:eastAsia="en-US"/>
        </w:rPr>
        <w:t xml:space="preserve">the </w:t>
      </w:r>
      <w:r w:rsidR="009F2C05">
        <w:rPr>
          <w:lang w:eastAsia="en-US"/>
        </w:rPr>
        <w:t>CATR</w:t>
      </w:r>
      <w:r w:rsidR="007463C7">
        <w:rPr>
          <w:lang w:eastAsia="en-US"/>
        </w:rPr>
        <w:t xml:space="preserve"> </w:t>
      </w:r>
      <w:r w:rsidRPr="00D00445">
        <w:rPr>
          <w:lang w:eastAsia="en-US"/>
        </w:rPr>
        <w:t xml:space="preserve">feed </w:t>
      </w:r>
      <w:r w:rsidR="007463C7">
        <w:rPr>
          <w:lang w:eastAsia="en-US"/>
        </w:rPr>
        <w:t xml:space="preserve">antenna </w:t>
      </w:r>
      <w:r w:rsidRPr="00D00445">
        <w:rPr>
          <w:lang w:eastAsia="en-US"/>
        </w:rPr>
        <w:t xml:space="preserve">and </w:t>
      </w:r>
      <w:r w:rsidR="008979C6">
        <w:rPr>
          <w:lang w:eastAsia="en-US"/>
        </w:rPr>
        <w:t xml:space="preserve">the </w:t>
      </w:r>
      <w:r w:rsidRPr="00D00445">
        <w:rPr>
          <w:lang w:eastAsia="en-US"/>
        </w:rPr>
        <w:t>reference antenna support the</w:t>
      </w:r>
      <w:r w:rsidR="003D34A5">
        <w:rPr>
          <w:lang w:eastAsia="en-US"/>
        </w:rPr>
        <w:t xml:space="preserve"> full</w:t>
      </w:r>
      <w:r w:rsidRPr="00D00445">
        <w:rPr>
          <w:lang w:eastAsia="en-US"/>
        </w:rPr>
        <w:t xml:space="preserve"> frequency range</w:t>
      </w:r>
      <w:r w:rsidR="007463C7">
        <w:rPr>
          <w:lang w:eastAsia="en-US"/>
        </w:rPr>
        <w:t xml:space="preserve"> from 22 GHz to 45 GHz and thus cover</w:t>
      </w:r>
      <w:r w:rsidRPr="00D00445">
        <w:rPr>
          <w:lang w:eastAsia="en-US"/>
        </w:rPr>
        <w:t xml:space="preserve"> </w:t>
      </w:r>
      <w:r w:rsidR="007463C7">
        <w:rPr>
          <w:lang w:eastAsia="en-US"/>
        </w:rPr>
        <w:t xml:space="preserve">the range </w:t>
      </w:r>
      <w:r w:rsidRPr="00D00445">
        <w:rPr>
          <w:lang w:eastAsia="en-US"/>
        </w:rPr>
        <w:t>required for measurements at the RAN5 agreed frequencies (for band agnostic approach) of 23.45 GHz, 32.125 GHz, and 40.8 GHz [2].</w:t>
      </w:r>
    </w:p>
    <w:p w14:paraId="5FAD0ABF" w14:textId="5BBFE97C" w:rsidR="00BF3FA7" w:rsidRPr="00D00445" w:rsidRDefault="00BF3FA7" w:rsidP="00D00445">
      <w:pPr>
        <w:rPr>
          <w:lang w:eastAsia="en-US"/>
        </w:rPr>
      </w:pPr>
      <w:r w:rsidRPr="00D00445">
        <w:rPr>
          <w:lang w:eastAsia="en-US"/>
        </w:rPr>
        <w:t xml:space="preserve">The grid for the TRP measurements is a constant step size grid with an azimuth and elevation step size of </w:t>
      </w:r>
      <w:r w:rsidR="00A76DEB">
        <w:rPr>
          <w:lang w:eastAsia="en-US"/>
        </w:rPr>
        <w:t>10</w:t>
      </w:r>
      <w:r w:rsidRPr="00D00445">
        <w:rPr>
          <w:lang w:eastAsia="en-US"/>
        </w:rPr>
        <w:t xml:space="preserve"> degrees.</w:t>
      </w:r>
      <w:r w:rsidR="00397E2F">
        <w:rPr>
          <w:lang w:eastAsia="en-US"/>
        </w:rPr>
        <w:t xml:space="preserve"> For TRP the Jacobian integration method has been applied.</w:t>
      </w:r>
    </w:p>
    <w:p w14:paraId="093918F9" w14:textId="1DDB3A8F" w:rsidR="000F07A2" w:rsidRDefault="00BF3FA7" w:rsidP="00D00445">
      <w:pPr>
        <w:rPr>
          <w:lang w:eastAsia="en-US"/>
        </w:rPr>
      </w:pPr>
      <w:r w:rsidRPr="00BF3FA7">
        <w:rPr>
          <w:lang w:eastAsia="en-US"/>
        </w:rPr>
        <w:t xml:space="preserve">In </w:t>
      </w:r>
      <w:r w:rsidR="00397E2F">
        <w:rPr>
          <w:lang w:eastAsia="en-US"/>
        </w:rPr>
        <w:t xml:space="preserve">a </w:t>
      </w:r>
      <w:r w:rsidRPr="00BF3FA7">
        <w:rPr>
          <w:lang w:eastAsia="en-US"/>
        </w:rPr>
        <w:t xml:space="preserve">first </w:t>
      </w:r>
      <w:r w:rsidR="00397E2F">
        <w:rPr>
          <w:lang w:eastAsia="en-US"/>
        </w:rPr>
        <w:t xml:space="preserve">full </w:t>
      </w:r>
      <w:r w:rsidRPr="00BF3FA7">
        <w:rPr>
          <w:lang w:eastAsia="en-US"/>
        </w:rPr>
        <w:t>measurement</w:t>
      </w:r>
      <w:r w:rsidR="00397E2F">
        <w:rPr>
          <w:lang w:eastAsia="en-US"/>
        </w:rPr>
        <w:t xml:space="preserve"> set (all positions and angles)</w:t>
      </w:r>
      <w:r w:rsidRPr="00BF3FA7">
        <w:rPr>
          <w:lang w:eastAsia="en-US"/>
        </w:rPr>
        <w:t>,</w:t>
      </w:r>
      <w:r w:rsidR="00397E2F">
        <w:rPr>
          <w:lang w:eastAsia="en-US"/>
        </w:rPr>
        <w:t xml:space="preserve"> </w:t>
      </w:r>
      <w:r w:rsidRPr="00BF3FA7">
        <w:rPr>
          <w:lang w:eastAsia="en-US"/>
        </w:rPr>
        <w:t xml:space="preserve"> reference antenna orientations parallel to the fixture plate of the positioner have been identified to have </w:t>
      </w:r>
      <w:r w:rsidR="00397E2F">
        <w:rPr>
          <w:lang w:eastAsia="en-US"/>
        </w:rPr>
        <w:t xml:space="preserve">the largest </w:t>
      </w:r>
      <w:r w:rsidR="007463C7">
        <w:rPr>
          <w:lang w:eastAsia="en-US"/>
        </w:rPr>
        <w:t xml:space="preserve">error </w:t>
      </w:r>
      <w:r w:rsidR="00397E2F">
        <w:rPr>
          <w:lang w:eastAsia="en-US"/>
        </w:rPr>
        <w:t>contribution to the quality of quiet zone</w:t>
      </w:r>
      <w:r w:rsidRPr="00BF3FA7">
        <w:rPr>
          <w:lang w:eastAsia="en-US"/>
        </w:rPr>
        <w:t xml:space="preserve">. Therefore, subsequent measurements have been carried out with optimized fixtures not requiring a </w:t>
      </w:r>
      <w:r w:rsidR="00397E2F">
        <w:rPr>
          <w:lang w:eastAsia="en-US"/>
        </w:rPr>
        <w:t>mounting</w:t>
      </w:r>
      <w:r w:rsidRPr="00BF3FA7">
        <w:rPr>
          <w:lang w:eastAsia="en-US"/>
        </w:rPr>
        <w:t xml:space="preserve"> plate</w:t>
      </w:r>
      <w:r w:rsidR="000F07A2">
        <w:rPr>
          <w:lang w:eastAsia="en-US"/>
        </w:rPr>
        <w:t xml:space="preserve"> with a reduced set of positions and rotations setting β = 0° (P1,P2,P6,P7) and β = 90° (P1,P2), where γ = 0°. </w:t>
      </w:r>
      <w:r w:rsidR="00397E2F">
        <w:rPr>
          <w:lang w:eastAsia="en-US"/>
        </w:rPr>
        <w:t>Here, t</w:t>
      </w:r>
      <w:r w:rsidR="000F07A2">
        <w:rPr>
          <w:lang w:eastAsia="en-US"/>
        </w:rPr>
        <w:t>he fact that P2,</w:t>
      </w:r>
      <w:r w:rsidR="00397E2F">
        <w:rPr>
          <w:lang w:eastAsia="en-US"/>
        </w:rPr>
        <w:t xml:space="preserve"> </w:t>
      </w:r>
      <w:r w:rsidR="000F07A2">
        <w:rPr>
          <w:lang w:eastAsia="en-US"/>
        </w:rPr>
        <w:t>P3,</w:t>
      </w:r>
      <w:r w:rsidR="00397E2F">
        <w:rPr>
          <w:lang w:eastAsia="en-US"/>
        </w:rPr>
        <w:t xml:space="preserve"> </w:t>
      </w:r>
      <w:r w:rsidR="000F07A2">
        <w:rPr>
          <w:lang w:eastAsia="en-US"/>
        </w:rPr>
        <w:t>P4,</w:t>
      </w:r>
      <w:r w:rsidR="00397E2F">
        <w:rPr>
          <w:lang w:eastAsia="en-US"/>
        </w:rPr>
        <w:t xml:space="preserve"> and </w:t>
      </w:r>
      <w:r w:rsidR="000F07A2">
        <w:rPr>
          <w:lang w:eastAsia="en-US"/>
        </w:rPr>
        <w:t xml:space="preserve">P5 are rotationally symmetric has been used to reduce the number of measurement points. </w:t>
      </w:r>
    </w:p>
    <w:p w14:paraId="51BF3717" w14:textId="77777777" w:rsidR="00C5050C" w:rsidRDefault="00C5050C" w:rsidP="00D00445">
      <w:pPr>
        <w:rPr>
          <w:lang w:eastAsia="en-US"/>
        </w:rPr>
      </w:pPr>
      <w:r>
        <w:rPr>
          <w:lang w:eastAsia="en-US"/>
        </w:rPr>
        <w:t xml:space="preserve">It is noted that the measured results also include effects of finite cross-polarization discrimination of both the feed and reference antennas as well as the impact of direct coupling of these antennas. Therefore, these contributions should not be counted twice in the measurement uncertainty tables. </w:t>
      </w:r>
    </w:p>
    <w:p w14:paraId="0262660C" w14:textId="4143D68A" w:rsidR="00C5050C" w:rsidRDefault="007463C7" w:rsidP="00D00445">
      <w:pPr>
        <w:rPr>
          <w:b/>
          <w:lang w:eastAsia="en-US"/>
        </w:rPr>
      </w:pPr>
      <w:r w:rsidRPr="008979C6">
        <w:rPr>
          <w:b/>
          <w:lang w:eastAsia="en-US"/>
        </w:rPr>
        <w:lastRenderedPageBreak/>
        <w:t>Observation</w:t>
      </w:r>
      <w:r w:rsidR="00C5050C" w:rsidRPr="008979C6">
        <w:rPr>
          <w:b/>
          <w:lang w:eastAsia="en-US"/>
        </w:rPr>
        <w:t xml:space="preserve"> 1: The quality of quiet zone for IFF includes the </w:t>
      </w:r>
      <w:r w:rsidR="008979C6">
        <w:rPr>
          <w:b/>
          <w:lang w:eastAsia="en-US"/>
        </w:rPr>
        <w:t xml:space="preserve">MU </w:t>
      </w:r>
      <w:r w:rsidR="00C5050C" w:rsidRPr="008979C6">
        <w:rPr>
          <w:b/>
          <w:lang w:eastAsia="en-US"/>
        </w:rPr>
        <w:t>contribut</w:t>
      </w:r>
      <w:r w:rsidR="008979C6">
        <w:rPr>
          <w:b/>
          <w:lang w:eastAsia="en-US"/>
        </w:rPr>
        <w:t>ors</w:t>
      </w:r>
      <w:r w:rsidR="00C5050C" w:rsidRPr="008979C6">
        <w:rPr>
          <w:b/>
          <w:lang w:eastAsia="en-US"/>
        </w:rPr>
        <w:t xml:space="preserve"> </w:t>
      </w:r>
      <w:r w:rsidR="008979C6">
        <w:rPr>
          <w:b/>
          <w:lang w:eastAsia="en-US"/>
        </w:rPr>
        <w:t>B.2.2.10 Influence of XPD and B.2.2.12 RF leakage (from measurement antenna to receiver/transmitter)</w:t>
      </w:r>
      <w:r w:rsidR="000D4A19">
        <w:rPr>
          <w:b/>
          <w:lang w:eastAsia="en-US"/>
        </w:rPr>
        <w:t xml:space="preserve"> of TR 38.903 [3]</w:t>
      </w:r>
      <w:r w:rsidR="008979C6">
        <w:rPr>
          <w:b/>
          <w:lang w:eastAsia="en-US"/>
        </w:rPr>
        <w:t xml:space="preserve">. </w:t>
      </w:r>
    </w:p>
    <w:p w14:paraId="3FEC6B73" w14:textId="49D66F88" w:rsidR="008979C6" w:rsidRPr="008979C6" w:rsidRDefault="008979C6" w:rsidP="00D00445">
      <w:pPr>
        <w:rPr>
          <w:b/>
          <w:lang w:eastAsia="en-US"/>
        </w:rPr>
      </w:pPr>
      <w:r>
        <w:rPr>
          <w:b/>
          <w:lang w:eastAsia="en-US"/>
        </w:rPr>
        <w:t>Proposal 1: Ensure that the MU contributors B2.2.10 Influence of XPD and B.2.2.12 RF leakage are not counted twice in the MU spread sheets of TR 38.903</w:t>
      </w:r>
      <w:r w:rsidR="000D4A19">
        <w:rPr>
          <w:b/>
          <w:lang w:eastAsia="en-US"/>
        </w:rPr>
        <w:t xml:space="preserve"> [3]</w:t>
      </w:r>
      <w:r w:rsidR="005337E7">
        <w:rPr>
          <w:b/>
          <w:lang w:eastAsia="en-US"/>
        </w:rPr>
        <w:t xml:space="preserve"> </w:t>
      </w:r>
      <w:r w:rsidR="005337E7" w:rsidRPr="005337E7">
        <w:rPr>
          <w:b/>
          <w:highlight w:val="yellow"/>
          <w:lang w:eastAsia="en-US"/>
        </w:rPr>
        <w:t>as they are included in the quality of quiet zone</w:t>
      </w:r>
      <w:r>
        <w:rPr>
          <w:b/>
          <w:lang w:eastAsia="en-US"/>
        </w:rPr>
        <w:t xml:space="preserve">. </w:t>
      </w:r>
    </w:p>
    <w:p w14:paraId="320D0DD1" w14:textId="281A0F8F" w:rsidR="00C5050C" w:rsidRDefault="000F07A2" w:rsidP="008979C6">
      <w:pPr>
        <w:rPr>
          <w:lang w:eastAsia="en-US"/>
        </w:rPr>
      </w:pPr>
      <w:r>
        <w:rPr>
          <w:lang w:eastAsia="en-US"/>
        </w:rPr>
        <w:t>Table 1 summarizes the results for a spherical quiet zone with a diameter of 15 cm</w:t>
      </w:r>
      <w:r w:rsidR="00397E2F">
        <w:rPr>
          <w:lang w:eastAsia="en-US"/>
        </w:rPr>
        <w:t xml:space="preserve"> for TRP and Table 2 for EIRP.</w:t>
      </w:r>
    </w:p>
    <w:p w14:paraId="0B6659BF" w14:textId="59F20CBD" w:rsidR="000F07A2" w:rsidRDefault="000F07A2" w:rsidP="000F07A2">
      <w:pPr>
        <w:jc w:val="center"/>
        <w:rPr>
          <w:lang w:eastAsia="en-US"/>
        </w:rPr>
      </w:pPr>
      <w:r>
        <w:rPr>
          <w:lang w:eastAsia="en-US"/>
        </w:rPr>
        <w:t>Table 1: TRP Standard deviation and mean of the deviation referred to P1</w:t>
      </w:r>
      <w:r w:rsidR="003D34A5">
        <w:rPr>
          <w:lang w:eastAsia="en-US"/>
        </w:rPr>
        <w:t xml:space="preserve"> for 15 cm QoQZ</w:t>
      </w:r>
      <w:r>
        <w:rPr>
          <w:lang w:eastAsia="en-US"/>
        </w:rPr>
        <w:t>.</w:t>
      </w:r>
    </w:p>
    <w:tbl>
      <w:tblPr>
        <w:tblStyle w:val="TabellemithellemGitternetz"/>
        <w:tblW w:w="0" w:type="auto"/>
        <w:jc w:val="center"/>
        <w:tblLook w:val="0000" w:firstRow="0" w:lastRow="0" w:firstColumn="0" w:lastColumn="0" w:noHBand="0" w:noVBand="0"/>
      </w:tblPr>
      <w:tblGrid>
        <w:gridCol w:w="1271"/>
        <w:gridCol w:w="2410"/>
        <w:gridCol w:w="2551"/>
      </w:tblGrid>
      <w:tr w:rsidR="00497700" w14:paraId="6F4C5455" w14:textId="5C23D406" w:rsidTr="000F07A2">
        <w:trPr>
          <w:trHeight w:val="89"/>
          <w:jc w:val="center"/>
        </w:trPr>
        <w:tc>
          <w:tcPr>
            <w:tcW w:w="1271" w:type="dxa"/>
          </w:tcPr>
          <w:p w14:paraId="34FFE121" w14:textId="6728BC2E" w:rsidR="00497700" w:rsidRDefault="00497700" w:rsidP="000F07A2">
            <w:pPr>
              <w:spacing w:after="0" w:line="240" w:lineRule="auto"/>
              <w:jc w:val="center"/>
              <w:rPr>
                <w:lang w:eastAsia="en-US"/>
              </w:rPr>
            </w:pPr>
            <w:r>
              <w:rPr>
                <w:lang w:eastAsia="en-US"/>
              </w:rPr>
              <w:t>Frequency (GHz)</w:t>
            </w:r>
          </w:p>
        </w:tc>
        <w:tc>
          <w:tcPr>
            <w:tcW w:w="2410" w:type="dxa"/>
          </w:tcPr>
          <w:p w14:paraId="576C7652" w14:textId="5273D5EC" w:rsidR="00497700" w:rsidRDefault="00497700" w:rsidP="000F07A2">
            <w:pPr>
              <w:spacing w:after="0" w:line="240" w:lineRule="auto"/>
              <w:jc w:val="center"/>
              <w:rPr>
                <w:lang w:eastAsia="en-US"/>
              </w:rPr>
            </w:pPr>
            <w:r>
              <w:rPr>
                <w:lang w:eastAsia="en-US"/>
              </w:rPr>
              <w:t>standard deviation (dB)</w:t>
            </w:r>
          </w:p>
        </w:tc>
        <w:tc>
          <w:tcPr>
            <w:tcW w:w="2551" w:type="dxa"/>
          </w:tcPr>
          <w:p w14:paraId="7703FEA1" w14:textId="6A069F82" w:rsidR="00497700" w:rsidRDefault="00497700" w:rsidP="000F07A2">
            <w:pPr>
              <w:spacing w:after="0" w:line="240" w:lineRule="auto"/>
              <w:jc w:val="center"/>
              <w:rPr>
                <w:lang w:eastAsia="en-US"/>
              </w:rPr>
            </w:pPr>
            <w:r>
              <w:rPr>
                <w:lang w:eastAsia="en-US"/>
              </w:rPr>
              <w:t>mean of the deviations referred to P1 (dB)</w:t>
            </w:r>
          </w:p>
        </w:tc>
      </w:tr>
      <w:tr w:rsidR="00497700" w14:paraId="1E964919" w14:textId="743702B2" w:rsidTr="000F07A2">
        <w:trPr>
          <w:trHeight w:val="132"/>
          <w:jc w:val="center"/>
        </w:trPr>
        <w:tc>
          <w:tcPr>
            <w:tcW w:w="1271" w:type="dxa"/>
          </w:tcPr>
          <w:p w14:paraId="5E4C25CE" w14:textId="63DB6A60" w:rsidR="00497700" w:rsidRDefault="00497700" w:rsidP="000F07A2">
            <w:pPr>
              <w:spacing w:after="0" w:line="240" w:lineRule="auto"/>
              <w:jc w:val="center"/>
              <w:rPr>
                <w:lang w:eastAsia="en-US"/>
              </w:rPr>
            </w:pPr>
            <w:r>
              <w:rPr>
                <w:lang w:eastAsia="en-US"/>
              </w:rPr>
              <w:t>23.45</w:t>
            </w:r>
          </w:p>
        </w:tc>
        <w:tc>
          <w:tcPr>
            <w:tcW w:w="2410" w:type="dxa"/>
          </w:tcPr>
          <w:p w14:paraId="2A534374" w14:textId="47872084" w:rsidR="00497700" w:rsidRDefault="00497700" w:rsidP="000F07A2">
            <w:pPr>
              <w:spacing w:after="0" w:line="240" w:lineRule="auto"/>
              <w:jc w:val="center"/>
              <w:rPr>
                <w:lang w:eastAsia="en-US"/>
              </w:rPr>
            </w:pPr>
            <w:r>
              <w:rPr>
                <w:lang w:eastAsia="en-US"/>
              </w:rPr>
              <w:t>0.19</w:t>
            </w:r>
          </w:p>
        </w:tc>
        <w:tc>
          <w:tcPr>
            <w:tcW w:w="2551" w:type="dxa"/>
          </w:tcPr>
          <w:p w14:paraId="574F7708" w14:textId="363FC089" w:rsidR="00497700" w:rsidRDefault="00497700" w:rsidP="000F07A2">
            <w:pPr>
              <w:spacing w:after="0" w:line="240" w:lineRule="auto"/>
              <w:jc w:val="center"/>
              <w:rPr>
                <w:lang w:eastAsia="en-US"/>
              </w:rPr>
            </w:pPr>
            <w:r>
              <w:rPr>
                <w:lang w:eastAsia="en-US"/>
              </w:rPr>
              <w:t>0.31</w:t>
            </w:r>
          </w:p>
        </w:tc>
      </w:tr>
      <w:tr w:rsidR="00497700" w14:paraId="4691DF46" w14:textId="36513E65" w:rsidTr="000F07A2">
        <w:trPr>
          <w:jc w:val="center"/>
        </w:trPr>
        <w:tc>
          <w:tcPr>
            <w:tcW w:w="1271" w:type="dxa"/>
          </w:tcPr>
          <w:p w14:paraId="067EF9BC" w14:textId="041D2274" w:rsidR="00497700" w:rsidRDefault="00497700" w:rsidP="000F07A2">
            <w:pPr>
              <w:spacing w:after="0" w:line="240" w:lineRule="auto"/>
              <w:jc w:val="center"/>
              <w:rPr>
                <w:lang w:eastAsia="en-US"/>
              </w:rPr>
            </w:pPr>
            <w:r>
              <w:rPr>
                <w:lang w:eastAsia="en-US"/>
              </w:rPr>
              <w:t>32.125</w:t>
            </w:r>
          </w:p>
        </w:tc>
        <w:tc>
          <w:tcPr>
            <w:tcW w:w="2410" w:type="dxa"/>
          </w:tcPr>
          <w:p w14:paraId="503F56DF" w14:textId="32A74786" w:rsidR="00497700" w:rsidRDefault="00497700" w:rsidP="000F07A2">
            <w:pPr>
              <w:spacing w:after="0" w:line="240" w:lineRule="auto"/>
              <w:jc w:val="center"/>
              <w:rPr>
                <w:lang w:eastAsia="en-US"/>
              </w:rPr>
            </w:pPr>
            <w:r>
              <w:rPr>
                <w:lang w:eastAsia="en-US"/>
              </w:rPr>
              <w:t>0.35</w:t>
            </w:r>
          </w:p>
        </w:tc>
        <w:tc>
          <w:tcPr>
            <w:tcW w:w="2551" w:type="dxa"/>
          </w:tcPr>
          <w:p w14:paraId="28F47DFB" w14:textId="11C43FF1" w:rsidR="00497700" w:rsidRDefault="00497700" w:rsidP="000F07A2">
            <w:pPr>
              <w:spacing w:after="0" w:line="240" w:lineRule="auto"/>
              <w:jc w:val="center"/>
              <w:rPr>
                <w:lang w:eastAsia="en-US"/>
              </w:rPr>
            </w:pPr>
            <w:r>
              <w:rPr>
                <w:lang w:eastAsia="en-US"/>
              </w:rPr>
              <w:t>0.52</w:t>
            </w:r>
          </w:p>
        </w:tc>
      </w:tr>
      <w:tr w:rsidR="00497700" w14:paraId="5E9D8A49" w14:textId="7A441B1D" w:rsidTr="000F07A2">
        <w:trPr>
          <w:jc w:val="center"/>
        </w:trPr>
        <w:tc>
          <w:tcPr>
            <w:tcW w:w="1271" w:type="dxa"/>
          </w:tcPr>
          <w:p w14:paraId="3D2B85C1" w14:textId="1573DF8C" w:rsidR="00497700" w:rsidRDefault="00497700" w:rsidP="000F07A2">
            <w:pPr>
              <w:spacing w:after="0" w:line="240" w:lineRule="auto"/>
              <w:jc w:val="center"/>
              <w:rPr>
                <w:lang w:eastAsia="en-US"/>
              </w:rPr>
            </w:pPr>
            <w:r>
              <w:rPr>
                <w:lang w:eastAsia="en-US"/>
              </w:rPr>
              <w:t>40.8</w:t>
            </w:r>
          </w:p>
        </w:tc>
        <w:tc>
          <w:tcPr>
            <w:tcW w:w="2410" w:type="dxa"/>
          </w:tcPr>
          <w:p w14:paraId="49B7069E" w14:textId="4E006E4D" w:rsidR="00497700" w:rsidRDefault="00497700" w:rsidP="000F07A2">
            <w:pPr>
              <w:spacing w:after="0" w:line="240" w:lineRule="auto"/>
              <w:jc w:val="center"/>
              <w:rPr>
                <w:lang w:eastAsia="en-US"/>
              </w:rPr>
            </w:pPr>
            <w:r>
              <w:rPr>
                <w:lang w:eastAsia="en-US"/>
              </w:rPr>
              <w:t>0.49</w:t>
            </w:r>
          </w:p>
        </w:tc>
        <w:tc>
          <w:tcPr>
            <w:tcW w:w="2551" w:type="dxa"/>
          </w:tcPr>
          <w:p w14:paraId="0D85BC82" w14:textId="6182B168" w:rsidR="00497700" w:rsidRDefault="00497700" w:rsidP="000F07A2">
            <w:pPr>
              <w:spacing w:after="0" w:line="240" w:lineRule="auto"/>
              <w:jc w:val="center"/>
              <w:rPr>
                <w:lang w:eastAsia="en-US"/>
              </w:rPr>
            </w:pPr>
            <w:r>
              <w:rPr>
                <w:lang w:eastAsia="en-US"/>
              </w:rPr>
              <w:t>0.57</w:t>
            </w:r>
          </w:p>
        </w:tc>
      </w:tr>
    </w:tbl>
    <w:p w14:paraId="769AFFCB" w14:textId="1F3A8D34" w:rsidR="008979C6" w:rsidRDefault="008979C6" w:rsidP="000F07A2">
      <w:pPr>
        <w:jc w:val="center"/>
        <w:rPr>
          <w:lang w:eastAsia="en-US"/>
        </w:rPr>
      </w:pPr>
    </w:p>
    <w:p w14:paraId="509D1FD3" w14:textId="67431A35" w:rsidR="003D34A5" w:rsidRDefault="003D34A5" w:rsidP="003D34A5">
      <w:pPr>
        <w:jc w:val="center"/>
        <w:rPr>
          <w:lang w:eastAsia="en-US"/>
        </w:rPr>
      </w:pPr>
      <w:r>
        <w:rPr>
          <w:lang w:eastAsia="en-US"/>
        </w:rPr>
        <w:t>Table 2: EIRP Standard deviation and mean of the deviation referred to P1 for 15 cm QoQZ.</w:t>
      </w:r>
    </w:p>
    <w:tbl>
      <w:tblPr>
        <w:tblStyle w:val="TabellemithellemGitternetz"/>
        <w:tblW w:w="0" w:type="auto"/>
        <w:jc w:val="center"/>
        <w:tblLook w:val="0000" w:firstRow="0" w:lastRow="0" w:firstColumn="0" w:lastColumn="0" w:noHBand="0" w:noVBand="0"/>
      </w:tblPr>
      <w:tblGrid>
        <w:gridCol w:w="1271"/>
        <w:gridCol w:w="2410"/>
        <w:gridCol w:w="2551"/>
      </w:tblGrid>
      <w:tr w:rsidR="00497700" w14:paraId="5B67784B" w14:textId="77777777" w:rsidTr="00432A57">
        <w:trPr>
          <w:trHeight w:val="89"/>
          <w:jc w:val="center"/>
        </w:trPr>
        <w:tc>
          <w:tcPr>
            <w:tcW w:w="1271" w:type="dxa"/>
          </w:tcPr>
          <w:p w14:paraId="36DAB6FF" w14:textId="77777777" w:rsidR="00497700" w:rsidRDefault="00497700" w:rsidP="00432A57">
            <w:pPr>
              <w:spacing w:after="0" w:line="240" w:lineRule="auto"/>
              <w:jc w:val="center"/>
              <w:rPr>
                <w:lang w:eastAsia="en-US"/>
              </w:rPr>
            </w:pPr>
            <w:r>
              <w:rPr>
                <w:lang w:eastAsia="en-US"/>
              </w:rPr>
              <w:t>Frequency (GHz)</w:t>
            </w:r>
          </w:p>
        </w:tc>
        <w:tc>
          <w:tcPr>
            <w:tcW w:w="2410" w:type="dxa"/>
          </w:tcPr>
          <w:p w14:paraId="7FAB2A34" w14:textId="77777777" w:rsidR="00497700" w:rsidRDefault="00497700" w:rsidP="00432A57">
            <w:pPr>
              <w:spacing w:after="0" w:line="240" w:lineRule="auto"/>
              <w:jc w:val="center"/>
              <w:rPr>
                <w:lang w:eastAsia="en-US"/>
              </w:rPr>
            </w:pPr>
            <w:r>
              <w:rPr>
                <w:lang w:eastAsia="en-US"/>
              </w:rPr>
              <w:t>standard deviation (dB)</w:t>
            </w:r>
          </w:p>
        </w:tc>
        <w:tc>
          <w:tcPr>
            <w:tcW w:w="2551" w:type="dxa"/>
          </w:tcPr>
          <w:p w14:paraId="647EF75D" w14:textId="77777777" w:rsidR="00497700" w:rsidRDefault="00497700" w:rsidP="00432A57">
            <w:pPr>
              <w:spacing w:after="0" w:line="240" w:lineRule="auto"/>
              <w:jc w:val="center"/>
              <w:rPr>
                <w:lang w:eastAsia="en-US"/>
              </w:rPr>
            </w:pPr>
            <w:r>
              <w:rPr>
                <w:lang w:eastAsia="en-US"/>
              </w:rPr>
              <w:t>mean of the deviations referred to P1 (dB)</w:t>
            </w:r>
          </w:p>
        </w:tc>
      </w:tr>
      <w:tr w:rsidR="00497700" w14:paraId="24B984D5" w14:textId="77777777" w:rsidTr="00432A57">
        <w:trPr>
          <w:trHeight w:val="132"/>
          <w:jc w:val="center"/>
        </w:trPr>
        <w:tc>
          <w:tcPr>
            <w:tcW w:w="1271" w:type="dxa"/>
          </w:tcPr>
          <w:p w14:paraId="2B7ECC29" w14:textId="77777777" w:rsidR="00497700" w:rsidRDefault="00497700" w:rsidP="00432A57">
            <w:pPr>
              <w:spacing w:after="0" w:line="240" w:lineRule="auto"/>
              <w:jc w:val="center"/>
              <w:rPr>
                <w:lang w:eastAsia="en-US"/>
              </w:rPr>
            </w:pPr>
            <w:r>
              <w:rPr>
                <w:lang w:eastAsia="en-US"/>
              </w:rPr>
              <w:t>23.45</w:t>
            </w:r>
          </w:p>
        </w:tc>
        <w:tc>
          <w:tcPr>
            <w:tcW w:w="2410" w:type="dxa"/>
          </w:tcPr>
          <w:p w14:paraId="3A6AFE7C" w14:textId="2A961D0D" w:rsidR="00497700" w:rsidRDefault="00497700" w:rsidP="00432A57">
            <w:pPr>
              <w:spacing w:after="0" w:line="240" w:lineRule="auto"/>
              <w:jc w:val="center"/>
              <w:rPr>
                <w:lang w:eastAsia="en-US"/>
              </w:rPr>
            </w:pPr>
            <w:r>
              <w:rPr>
                <w:lang w:eastAsia="en-US"/>
              </w:rPr>
              <w:t>0.38</w:t>
            </w:r>
          </w:p>
        </w:tc>
        <w:tc>
          <w:tcPr>
            <w:tcW w:w="2551" w:type="dxa"/>
          </w:tcPr>
          <w:p w14:paraId="35B1C0BA" w14:textId="033B4D0A" w:rsidR="00497700" w:rsidRDefault="00497700" w:rsidP="00432A57">
            <w:pPr>
              <w:spacing w:after="0" w:line="240" w:lineRule="auto"/>
              <w:jc w:val="center"/>
              <w:rPr>
                <w:lang w:eastAsia="en-US"/>
              </w:rPr>
            </w:pPr>
            <w:r>
              <w:rPr>
                <w:lang w:eastAsia="en-US"/>
              </w:rPr>
              <w:t>0.30</w:t>
            </w:r>
          </w:p>
        </w:tc>
      </w:tr>
      <w:tr w:rsidR="00497700" w14:paraId="1BB07608" w14:textId="77777777" w:rsidTr="00432A57">
        <w:trPr>
          <w:jc w:val="center"/>
        </w:trPr>
        <w:tc>
          <w:tcPr>
            <w:tcW w:w="1271" w:type="dxa"/>
          </w:tcPr>
          <w:p w14:paraId="7C299C24" w14:textId="77777777" w:rsidR="00497700" w:rsidRDefault="00497700" w:rsidP="00432A57">
            <w:pPr>
              <w:spacing w:after="0" w:line="240" w:lineRule="auto"/>
              <w:jc w:val="center"/>
              <w:rPr>
                <w:lang w:eastAsia="en-US"/>
              </w:rPr>
            </w:pPr>
            <w:r>
              <w:rPr>
                <w:lang w:eastAsia="en-US"/>
              </w:rPr>
              <w:t>32.125</w:t>
            </w:r>
          </w:p>
        </w:tc>
        <w:tc>
          <w:tcPr>
            <w:tcW w:w="2410" w:type="dxa"/>
          </w:tcPr>
          <w:p w14:paraId="63581D31" w14:textId="20E5D928" w:rsidR="00497700" w:rsidRDefault="00497700" w:rsidP="00432A57">
            <w:pPr>
              <w:spacing w:after="0" w:line="240" w:lineRule="auto"/>
              <w:jc w:val="center"/>
              <w:rPr>
                <w:lang w:eastAsia="en-US"/>
              </w:rPr>
            </w:pPr>
            <w:r>
              <w:rPr>
                <w:lang w:eastAsia="en-US"/>
              </w:rPr>
              <w:t>0.44</w:t>
            </w:r>
          </w:p>
        </w:tc>
        <w:tc>
          <w:tcPr>
            <w:tcW w:w="2551" w:type="dxa"/>
          </w:tcPr>
          <w:p w14:paraId="4664D46A" w14:textId="1E46AC52" w:rsidR="00497700" w:rsidRDefault="00497700" w:rsidP="00432A57">
            <w:pPr>
              <w:spacing w:after="0" w:line="240" w:lineRule="auto"/>
              <w:jc w:val="center"/>
              <w:rPr>
                <w:lang w:eastAsia="en-US"/>
              </w:rPr>
            </w:pPr>
            <w:r>
              <w:rPr>
                <w:lang w:eastAsia="en-US"/>
              </w:rPr>
              <w:t>0.59</w:t>
            </w:r>
          </w:p>
        </w:tc>
      </w:tr>
      <w:tr w:rsidR="00497700" w14:paraId="28DC7669" w14:textId="77777777" w:rsidTr="00432A57">
        <w:trPr>
          <w:jc w:val="center"/>
        </w:trPr>
        <w:tc>
          <w:tcPr>
            <w:tcW w:w="1271" w:type="dxa"/>
          </w:tcPr>
          <w:p w14:paraId="5BACC68E" w14:textId="77777777" w:rsidR="00497700" w:rsidRDefault="00497700" w:rsidP="00432A57">
            <w:pPr>
              <w:spacing w:after="0" w:line="240" w:lineRule="auto"/>
              <w:jc w:val="center"/>
              <w:rPr>
                <w:lang w:eastAsia="en-US"/>
              </w:rPr>
            </w:pPr>
            <w:r>
              <w:rPr>
                <w:lang w:eastAsia="en-US"/>
              </w:rPr>
              <w:t>40.8</w:t>
            </w:r>
          </w:p>
        </w:tc>
        <w:tc>
          <w:tcPr>
            <w:tcW w:w="2410" w:type="dxa"/>
          </w:tcPr>
          <w:p w14:paraId="0E4A1187" w14:textId="206BB1FB" w:rsidR="00497700" w:rsidRDefault="00497700" w:rsidP="00432A57">
            <w:pPr>
              <w:spacing w:after="0" w:line="240" w:lineRule="auto"/>
              <w:jc w:val="center"/>
              <w:rPr>
                <w:lang w:eastAsia="en-US"/>
              </w:rPr>
            </w:pPr>
            <w:r>
              <w:rPr>
                <w:lang w:eastAsia="en-US"/>
              </w:rPr>
              <w:t>0.63</w:t>
            </w:r>
          </w:p>
        </w:tc>
        <w:tc>
          <w:tcPr>
            <w:tcW w:w="2551" w:type="dxa"/>
          </w:tcPr>
          <w:p w14:paraId="4A8F16A6" w14:textId="5F1E2ADE" w:rsidR="00497700" w:rsidRDefault="00497700" w:rsidP="00432A57">
            <w:pPr>
              <w:spacing w:after="0" w:line="240" w:lineRule="auto"/>
              <w:jc w:val="center"/>
              <w:rPr>
                <w:lang w:eastAsia="en-US"/>
              </w:rPr>
            </w:pPr>
            <w:r>
              <w:rPr>
                <w:lang w:eastAsia="en-US"/>
              </w:rPr>
              <w:t>1.02</w:t>
            </w:r>
          </w:p>
        </w:tc>
      </w:tr>
    </w:tbl>
    <w:p w14:paraId="0A27D23B" w14:textId="3A8114AC" w:rsidR="003D34A5" w:rsidRDefault="003D34A5" w:rsidP="008829FA">
      <w:pPr>
        <w:rPr>
          <w:lang w:eastAsia="en-US"/>
        </w:rPr>
      </w:pPr>
    </w:p>
    <w:p w14:paraId="0502CB87" w14:textId="4C08E165" w:rsidR="008979C6" w:rsidRDefault="008979C6" w:rsidP="008829FA">
      <w:pPr>
        <w:rPr>
          <w:lang w:eastAsia="en-US"/>
        </w:rPr>
      </w:pPr>
      <w:r>
        <w:rPr>
          <w:lang w:eastAsia="en-US"/>
        </w:rPr>
        <w:t>As for TRP the maximum uncertainties in the two frequency ranges from 23.45 GHz to 32.125 GHz and from 32.125 GHz to 40.8 GHz are quite similar we propose the same value for both ranges.</w:t>
      </w:r>
    </w:p>
    <w:p w14:paraId="360B99F3" w14:textId="51470686" w:rsidR="008979C6" w:rsidRPr="00A00B9F" w:rsidRDefault="008979C6" w:rsidP="00043C77">
      <w:pPr>
        <w:rPr>
          <w:b/>
          <w:highlight w:val="yellow"/>
          <w:lang w:eastAsia="en-US"/>
        </w:rPr>
      </w:pPr>
      <w:r w:rsidRPr="00A00B9F">
        <w:rPr>
          <w:b/>
          <w:highlight w:val="yellow"/>
          <w:lang w:eastAsia="en-US"/>
        </w:rPr>
        <w:t xml:space="preserve">Proposal 2: </w:t>
      </w:r>
      <w:r w:rsidR="00A00B9F" w:rsidRPr="00A00B9F">
        <w:rPr>
          <w:b/>
          <w:highlight w:val="yellow"/>
          <w:lang w:eastAsia="en-US"/>
        </w:rPr>
        <w:t>For TRP and a quiet zone size of 15 cm, use a value of 0.</w:t>
      </w:r>
      <w:r w:rsidR="00043C77">
        <w:rPr>
          <w:b/>
          <w:highlight w:val="yellow"/>
          <w:lang w:eastAsia="en-US"/>
        </w:rPr>
        <w:t>4</w:t>
      </w:r>
      <w:r w:rsidR="00A00B9F" w:rsidRPr="00A00B9F">
        <w:rPr>
          <w:b/>
          <w:highlight w:val="yellow"/>
          <w:lang w:eastAsia="en-US"/>
        </w:rPr>
        <w:t xml:space="preserve"> dB f</w:t>
      </w:r>
      <w:r w:rsidRPr="00A00B9F">
        <w:rPr>
          <w:b/>
          <w:highlight w:val="yellow"/>
          <w:lang w:eastAsia="en-US"/>
        </w:rPr>
        <w:t xml:space="preserve">or </w:t>
      </w:r>
      <w:r w:rsidR="00A00B9F" w:rsidRPr="00A00B9F">
        <w:rPr>
          <w:b/>
          <w:highlight w:val="yellow"/>
          <w:lang w:eastAsia="en-US"/>
        </w:rPr>
        <w:t xml:space="preserve">the </w:t>
      </w:r>
      <w:r w:rsidRPr="00A00B9F">
        <w:rPr>
          <w:b/>
          <w:highlight w:val="yellow"/>
          <w:lang w:eastAsia="en-US"/>
        </w:rPr>
        <w:t xml:space="preserve">standard deviation </w:t>
      </w:r>
      <w:r w:rsidR="00A00B9F" w:rsidRPr="00A00B9F">
        <w:rPr>
          <w:b/>
          <w:highlight w:val="yellow"/>
          <w:lang w:eastAsia="en-US"/>
        </w:rPr>
        <w:t>and 0.</w:t>
      </w:r>
      <w:r w:rsidR="00DA4015">
        <w:rPr>
          <w:b/>
          <w:highlight w:val="yellow"/>
          <w:lang w:eastAsia="en-US"/>
        </w:rPr>
        <w:t>6</w:t>
      </w:r>
      <w:r w:rsidR="00A00B9F" w:rsidRPr="00A00B9F">
        <w:rPr>
          <w:b/>
          <w:highlight w:val="yellow"/>
          <w:lang w:eastAsia="en-US"/>
        </w:rPr>
        <w:t xml:space="preserve"> dB for the mean deviation </w:t>
      </w:r>
      <w:r w:rsidRPr="00A00B9F">
        <w:rPr>
          <w:b/>
          <w:highlight w:val="yellow"/>
          <w:lang w:eastAsia="en-US"/>
        </w:rPr>
        <w:t xml:space="preserve">of the quality of quiet zone MU contributor for 23.45 GHz to </w:t>
      </w:r>
      <w:r w:rsidR="00043C77" w:rsidRPr="00A00B9F">
        <w:rPr>
          <w:b/>
          <w:highlight w:val="yellow"/>
          <w:lang w:eastAsia="en-US"/>
        </w:rPr>
        <w:t>32.125 GHz</w:t>
      </w:r>
      <w:r w:rsidR="00043C77">
        <w:rPr>
          <w:b/>
          <w:highlight w:val="yellow"/>
          <w:lang w:eastAsia="en-US"/>
        </w:rPr>
        <w:t xml:space="preserve"> and </w:t>
      </w:r>
      <w:r w:rsidR="00043C77" w:rsidRPr="00A00B9F">
        <w:rPr>
          <w:b/>
          <w:highlight w:val="yellow"/>
          <w:lang w:eastAsia="en-US"/>
        </w:rPr>
        <w:t xml:space="preserve">standard deviation = 0.6 dB </w:t>
      </w:r>
      <w:r w:rsidR="00043C77">
        <w:rPr>
          <w:b/>
          <w:highlight w:val="yellow"/>
          <w:lang w:eastAsia="en-US"/>
        </w:rPr>
        <w:t xml:space="preserve">and mean deviation = 0.6 </w:t>
      </w:r>
      <w:r w:rsidR="00043C77" w:rsidRPr="00A00B9F">
        <w:rPr>
          <w:b/>
          <w:highlight w:val="yellow"/>
          <w:lang w:eastAsia="en-US"/>
        </w:rPr>
        <w:t>dB for 32.125 GHz to 40.8 GHz</w:t>
      </w:r>
      <w:r w:rsidR="00043C77">
        <w:rPr>
          <w:b/>
          <w:highlight w:val="yellow"/>
          <w:lang w:eastAsia="en-US"/>
        </w:rPr>
        <w:t>.</w:t>
      </w:r>
    </w:p>
    <w:p w14:paraId="23CF321B" w14:textId="2F36E617" w:rsidR="008979C6" w:rsidRDefault="008979C6" w:rsidP="008979C6">
      <w:pPr>
        <w:rPr>
          <w:b/>
          <w:lang w:eastAsia="en-US"/>
        </w:rPr>
      </w:pPr>
      <w:r w:rsidRPr="00A00B9F">
        <w:rPr>
          <w:b/>
          <w:highlight w:val="yellow"/>
          <w:lang w:eastAsia="en-US"/>
        </w:rPr>
        <w:t xml:space="preserve">Proposal 3: </w:t>
      </w:r>
      <w:r w:rsidR="00A00B9F" w:rsidRPr="00A00B9F">
        <w:rPr>
          <w:b/>
          <w:highlight w:val="yellow"/>
          <w:lang w:eastAsia="en-US"/>
        </w:rPr>
        <w:t>For EIRP and a quiet zone size of 15 cm, use a value of 0.</w:t>
      </w:r>
      <w:r w:rsidR="00DA4015">
        <w:rPr>
          <w:b/>
          <w:highlight w:val="yellow"/>
          <w:lang w:eastAsia="en-US"/>
        </w:rPr>
        <w:t>4</w:t>
      </w:r>
      <w:r w:rsidR="00A00B9F" w:rsidRPr="00A00B9F">
        <w:rPr>
          <w:b/>
          <w:highlight w:val="yellow"/>
          <w:lang w:eastAsia="en-US"/>
        </w:rPr>
        <w:t xml:space="preserve"> dB for the standard deviation and 0.6 dB for the mean deviation of the quality of quiet zone MU contributor for </w:t>
      </w:r>
      <w:r w:rsidRPr="00A00B9F">
        <w:rPr>
          <w:b/>
          <w:highlight w:val="yellow"/>
          <w:lang w:eastAsia="en-US"/>
        </w:rPr>
        <w:t xml:space="preserve">23.45 GHz to 32.125 GHz and </w:t>
      </w:r>
      <w:r w:rsidR="00A00B9F" w:rsidRPr="00A00B9F">
        <w:rPr>
          <w:b/>
          <w:highlight w:val="yellow"/>
          <w:lang w:eastAsia="en-US"/>
        </w:rPr>
        <w:t>standard deviation = 0</w:t>
      </w:r>
      <w:r w:rsidRPr="00A00B9F">
        <w:rPr>
          <w:b/>
          <w:highlight w:val="yellow"/>
          <w:lang w:eastAsia="en-US"/>
        </w:rPr>
        <w:t xml:space="preserve">.6 dB </w:t>
      </w:r>
      <w:r w:rsidR="00A00B9F" w:rsidRPr="00A00B9F">
        <w:rPr>
          <w:b/>
          <w:highlight w:val="yellow"/>
          <w:lang w:eastAsia="en-US"/>
        </w:rPr>
        <w:t>and mean deviation = 1</w:t>
      </w:r>
      <w:r w:rsidR="00DA4015">
        <w:rPr>
          <w:b/>
          <w:highlight w:val="yellow"/>
          <w:lang w:eastAsia="en-US"/>
        </w:rPr>
        <w:t xml:space="preserve">.0 </w:t>
      </w:r>
      <w:r w:rsidR="00A00B9F" w:rsidRPr="00A00B9F">
        <w:rPr>
          <w:b/>
          <w:highlight w:val="yellow"/>
          <w:lang w:eastAsia="en-US"/>
        </w:rPr>
        <w:t xml:space="preserve">dB </w:t>
      </w:r>
      <w:r w:rsidRPr="00A00B9F">
        <w:rPr>
          <w:b/>
          <w:highlight w:val="yellow"/>
          <w:lang w:eastAsia="en-US"/>
        </w:rPr>
        <w:t>for 32.125 GHz to 40.8 GHz.</w:t>
      </w:r>
      <w:r>
        <w:rPr>
          <w:b/>
          <w:lang w:eastAsia="en-US"/>
        </w:rPr>
        <w:t xml:space="preserve"> </w:t>
      </w:r>
    </w:p>
    <w:p w14:paraId="4B022716" w14:textId="5D097EB8" w:rsidR="008979C6" w:rsidRDefault="00705286" w:rsidP="008979C6">
      <w:pPr>
        <w:rPr>
          <w:lang w:eastAsia="en-US"/>
        </w:rPr>
      </w:pPr>
      <w:r w:rsidRPr="00705286">
        <w:rPr>
          <w:lang w:eastAsia="en-US"/>
        </w:rPr>
        <w:t>In</w:t>
      </w:r>
      <w:r>
        <w:rPr>
          <w:lang w:eastAsia="en-US"/>
        </w:rPr>
        <w:t xml:space="preserve"> additions to the positions analyzed above a position P8, equivalent to P2 but with a distance of 15 cm from the center of the quiet zone, is included in the following analysis for a quiet zone size of 30 cm. </w:t>
      </w:r>
    </w:p>
    <w:p w14:paraId="504F3382" w14:textId="643A4C85" w:rsidR="00705286" w:rsidRDefault="00705286" w:rsidP="008979C6">
      <w:pPr>
        <w:rPr>
          <w:lang w:eastAsia="en-US"/>
        </w:rPr>
      </w:pPr>
      <w:r>
        <w:rPr>
          <w:lang w:eastAsia="en-US"/>
        </w:rPr>
        <w:t xml:space="preserve">Table 3 and Table 4 sum up the quality of quiet zone results for TRP and EIRP for a quiet zone size of 30 cm, respectively. </w:t>
      </w:r>
    </w:p>
    <w:p w14:paraId="2B96747E" w14:textId="61101106" w:rsidR="00705286" w:rsidRDefault="00705286" w:rsidP="008979C6">
      <w:pPr>
        <w:rPr>
          <w:lang w:eastAsia="en-US"/>
        </w:rPr>
      </w:pPr>
    </w:p>
    <w:p w14:paraId="406A00BA" w14:textId="77777777" w:rsidR="00705286" w:rsidRPr="00705286" w:rsidRDefault="00705286" w:rsidP="008979C6">
      <w:pPr>
        <w:rPr>
          <w:lang w:eastAsia="en-US"/>
        </w:rPr>
      </w:pPr>
    </w:p>
    <w:p w14:paraId="729144A2" w14:textId="40996183" w:rsidR="00F00728" w:rsidRDefault="00F00728" w:rsidP="00F00728">
      <w:pPr>
        <w:jc w:val="center"/>
        <w:rPr>
          <w:lang w:eastAsia="en-US"/>
        </w:rPr>
      </w:pPr>
      <w:r>
        <w:rPr>
          <w:lang w:eastAsia="en-US"/>
        </w:rPr>
        <w:t>Table 3: TRP Standard deviation and mean of the deviation referred to P1 for 30 cm QoQZ.</w:t>
      </w:r>
    </w:p>
    <w:tbl>
      <w:tblPr>
        <w:tblStyle w:val="TabellemithellemGitternetz"/>
        <w:tblW w:w="0" w:type="auto"/>
        <w:jc w:val="center"/>
        <w:tblLook w:val="0000" w:firstRow="0" w:lastRow="0" w:firstColumn="0" w:lastColumn="0" w:noHBand="0" w:noVBand="0"/>
      </w:tblPr>
      <w:tblGrid>
        <w:gridCol w:w="1271"/>
        <w:gridCol w:w="2410"/>
        <w:gridCol w:w="2551"/>
      </w:tblGrid>
      <w:tr w:rsidR="00497700" w14:paraId="09F00CF8" w14:textId="77777777" w:rsidTr="00432A57">
        <w:trPr>
          <w:trHeight w:val="89"/>
          <w:jc w:val="center"/>
        </w:trPr>
        <w:tc>
          <w:tcPr>
            <w:tcW w:w="1271" w:type="dxa"/>
          </w:tcPr>
          <w:p w14:paraId="4A02E720" w14:textId="77777777" w:rsidR="00497700" w:rsidRDefault="00497700" w:rsidP="00432A57">
            <w:pPr>
              <w:spacing w:after="0" w:line="240" w:lineRule="auto"/>
              <w:jc w:val="center"/>
              <w:rPr>
                <w:lang w:eastAsia="en-US"/>
              </w:rPr>
            </w:pPr>
            <w:r>
              <w:rPr>
                <w:lang w:eastAsia="en-US"/>
              </w:rPr>
              <w:t>Frequency (GHz)</w:t>
            </w:r>
          </w:p>
        </w:tc>
        <w:tc>
          <w:tcPr>
            <w:tcW w:w="2410" w:type="dxa"/>
          </w:tcPr>
          <w:p w14:paraId="6C699329" w14:textId="77777777" w:rsidR="00497700" w:rsidRDefault="00497700" w:rsidP="00432A57">
            <w:pPr>
              <w:spacing w:after="0" w:line="240" w:lineRule="auto"/>
              <w:jc w:val="center"/>
              <w:rPr>
                <w:lang w:eastAsia="en-US"/>
              </w:rPr>
            </w:pPr>
            <w:r>
              <w:rPr>
                <w:lang w:eastAsia="en-US"/>
              </w:rPr>
              <w:t>standard deviation (dB)</w:t>
            </w:r>
          </w:p>
        </w:tc>
        <w:tc>
          <w:tcPr>
            <w:tcW w:w="2551" w:type="dxa"/>
          </w:tcPr>
          <w:p w14:paraId="293F7240" w14:textId="77777777" w:rsidR="00497700" w:rsidRDefault="00497700" w:rsidP="00432A57">
            <w:pPr>
              <w:spacing w:after="0" w:line="240" w:lineRule="auto"/>
              <w:jc w:val="center"/>
              <w:rPr>
                <w:lang w:eastAsia="en-US"/>
              </w:rPr>
            </w:pPr>
            <w:r>
              <w:rPr>
                <w:lang w:eastAsia="en-US"/>
              </w:rPr>
              <w:t>mean of the deviations referred to P1 (dB)</w:t>
            </w:r>
          </w:p>
        </w:tc>
      </w:tr>
      <w:tr w:rsidR="00497700" w14:paraId="2EAC14D0" w14:textId="77777777" w:rsidTr="00432A57">
        <w:trPr>
          <w:trHeight w:val="132"/>
          <w:jc w:val="center"/>
        </w:trPr>
        <w:tc>
          <w:tcPr>
            <w:tcW w:w="1271" w:type="dxa"/>
          </w:tcPr>
          <w:p w14:paraId="592E3DEB" w14:textId="77777777" w:rsidR="00497700" w:rsidRDefault="00497700" w:rsidP="00432A57">
            <w:pPr>
              <w:spacing w:after="0" w:line="240" w:lineRule="auto"/>
              <w:jc w:val="center"/>
              <w:rPr>
                <w:lang w:eastAsia="en-US"/>
              </w:rPr>
            </w:pPr>
            <w:r>
              <w:rPr>
                <w:lang w:eastAsia="en-US"/>
              </w:rPr>
              <w:t>23.45</w:t>
            </w:r>
          </w:p>
        </w:tc>
        <w:tc>
          <w:tcPr>
            <w:tcW w:w="2410" w:type="dxa"/>
          </w:tcPr>
          <w:p w14:paraId="5E0A3734" w14:textId="20F1887D" w:rsidR="00497700" w:rsidRDefault="00497700" w:rsidP="00432A57">
            <w:pPr>
              <w:spacing w:after="0" w:line="240" w:lineRule="auto"/>
              <w:jc w:val="center"/>
              <w:rPr>
                <w:lang w:eastAsia="en-US"/>
              </w:rPr>
            </w:pPr>
            <w:r>
              <w:rPr>
                <w:lang w:eastAsia="en-US"/>
              </w:rPr>
              <w:t>0.45</w:t>
            </w:r>
          </w:p>
        </w:tc>
        <w:tc>
          <w:tcPr>
            <w:tcW w:w="2551" w:type="dxa"/>
          </w:tcPr>
          <w:p w14:paraId="48F4A473" w14:textId="3A9816F5" w:rsidR="00497700" w:rsidRDefault="00497700" w:rsidP="00432A57">
            <w:pPr>
              <w:spacing w:after="0" w:line="240" w:lineRule="auto"/>
              <w:jc w:val="center"/>
              <w:rPr>
                <w:lang w:eastAsia="en-US"/>
              </w:rPr>
            </w:pPr>
            <w:r>
              <w:rPr>
                <w:lang w:eastAsia="en-US"/>
              </w:rPr>
              <w:t>0.48</w:t>
            </w:r>
          </w:p>
        </w:tc>
      </w:tr>
      <w:tr w:rsidR="00497700" w14:paraId="1CA78AE7" w14:textId="77777777" w:rsidTr="00432A57">
        <w:trPr>
          <w:jc w:val="center"/>
        </w:trPr>
        <w:tc>
          <w:tcPr>
            <w:tcW w:w="1271" w:type="dxa"/>
          </w:tcPr>
          <w:p w14:paraId="1AA72F08" w14:textId="77777777" w:rsidR="00497700" w:rsidRDefault="00497700" w:rsidP="00432A57">
            <w:pPr>
              <w:spacing w:after="0" w:line="240" w:lineRule="auto"/>
              <w:jc w:val="center"/>
              <w:rPr>
                <w:lang w:eastAsia="en-US"/>
              </w:rPr>
            </w:pPr>
            <w:r>
              <w:rPr>
                <w:lang w:eastAsia="en-US"/>
              </w:rPr>
              <w:t>32.125</w:t>
            </w:r>
          </w:p>
        </w:tc>
        <w:tc>
          <w:tcPr>
            <w:tcW w:w="2410" w:type="dxa"/>
          </w:tcPr>
          <w:p w14:paraId="1AC3F39D" w14:textId="19C563E6" w:rsidR="00497700" w:rsidRDefault="00497700" w:rsidP="00432A57">
            <w:pPr>
              <w:spacing w:after="0" w:line="240" w:lineRule="auto"/>
              <w:jc w:val="center"/>
              <w:rPr>
                <w:lang w:eastAsia="en-US"/>
              </w:rPr>
            </w:pPr>
            <w:r>
              <w:rPr>
                <w:lang w:eastAsia="en-US"/>
              </w:rPr>
              <w:t>0.73</w:t>
            </w:r>
          </w:p>
        </w:tc>
        <w:tc>
          <w:tcPr>
            <w:tcW w:w="2551" w:type="dxa"/>
          </w:tcPr>
          <w:p w14:paraId="6A65A03B" w14:textId="6C0486BA" w:rsidR="00497700" w:rsidRDefault="00497700" w:rsidP="00432A57">
            <w:pPr>
              <w:spacing w:after="0" w:line="240" w:lineRule="auto"/>
              <w:jc w:val="center"/>
              <w:rPr>
                <w:lang w:eastAsia="en-US"/>
              </w:rPr>
            </w:pPr>
            <w:r>
              <w:rPr>
                <w:lang w:eastAsia="en-US"/>
              </w:rPr>
              <w:t>0.79</w:t>
            </w:r>
          </w:p>
        </w:tc>
      </w:tr>
      <w:tr w:rsidR="00497700" w14:paraId="5AD62C9F" w14:textId="77777777" w:rsidTr="00432A57">
        <w:trPr>
          <w:jc w:val="center"/>
        </w:trPr>
        <w:tc>
          <w:tcPr>
            <w:tcW w:w="1271" w:type="dxa"/>
          </w:tcPr>
          <w:p w14:paraId="62888E4B" w14:textId="77777777" w:rsidR="00497700" w:rsidRDefault="00497700" w:rsidP="00432A57">
            <w:pPr>
              <w:spacing w:after="0" w:line="240" w:lineRule="auto"/>
              <w:jc w:val="center"/>
              <w:rPr>
                <w:lang w:eastAsia="en-US"/>
              </w:rPr>
            </w:pPr>
            <w:r>
              <w:rPr>
                <w:lang w:eastAsia="en-US"/>
              </w:rPr>
              <w:t>40.8</w:t>
            </w:r>
          </w:p>
        </w:tc>
        <w:tc>
          <w:tcPr>
            <w:tcW w:w="2410" w:type="dxa"/>
          </w:tcPr>
          <w:p w14:paraId="2BC7ACF0" w14:textId="1B5DE622" w:rsidR="00497700" w:rsidRDefault="00497700" w:rsidP="00432A57">
            <w:pPr>
              <w:spacing w:after="0" w:line="240" w:lineRule="auto"/>
              <w:jc w:val="center"/>
              <w:rPr>
                <w:lang w:eastAsia="en-US"/>
              </w:rPr>
            </w:pPr>
            <w:r>
              <w:rPr>
                <w:lang w:eastAsia="en-US"/>
              </w:rPr>
              <w:t>0.74</w:t>
            </w:r>
          </w:p>
        </w:tc>
        <w:tc>
          <w:tcPr>
            <w:tcW w:w="2551" w:type="dxa"/>
          </w:tcPr>
          <w:p w14:paraId="264236ED" w14:textId="09404193" w:rsidR="00497700" w:rsidRDefault="00497700" w:rsidP="00432A57">
            <w:pPr>
              <w:spacing w:after="0" w:line="240" w:lineRule="auto"/>
              <w:jc w:val="center"/>
              <w:rPr>
                <w:lang w:eastAsia="en-US"/>
              </w:rPr>
            </w:pPr>
            <w:r>
              <w:rPr>
                <w:lang w:eastAsia="en-US"/>
              </w:rPr>
              <w:t>0.82</w:t>
            </w:r>
          </w:p>
        </w:tc>
      </w:tr>
    </w:tbl>
    <w:p w14:paraId="657AC8EB" w14:textId="189565F1" w:rsidR="00F00728" w:rsidRDefault="00F00728" w:rsidP="00F00728">
      <w:pPr>
        <w:jc w:val="center"/>
        <w:rPr>
          <w:lang w:eastAsia="en-US"/>
        </w:rPr>
      </w:pPr>
    </w:p>
    <w:p w14:paraId="2D394F16" w14:textId="124BAF89" w:rsidR="00F00728" w:rsidRDefault="00F00728" w:rsidP="00F00728">
      <w:pPr>
        <w:jc w:val="center"/>
        <w:rPr>
          <w:lang w:eastAsia="en-US"/>
        </w:rPr>
      </w:pPr>
      <w:r>
        <w:rPr>
          <w:lang w:eastAsia="en-US"/>
        </w:rPr>
        <w:t>Table 4: EIRP Standard deviation and mean of the deviation referred to P1 for 30 cm QoQZ.</w:t>
      </w:r>
    </w:p>
    <w:tbl>
      <w:tblPr>
        <w:tblStyle w:val="TabellemithellemGitternetz"/>
        <w:tblW w:w="0" w:type="auto"/>
        <w:jc w:val="center"/>
        <w:tblLook w:val="0000" w:firstRow="0" w:lastRow="0" w:firstColumn="0" w:lastColumn="0" w:noHBand="0" w:noVBand="0"/>
      </w:tblPr>
      <w:tblGrid>
        <w:gridCol w:w="1271"/>
        <w:gridCol w:w="2410"/>
        <w:gridCol w:w="2551"/>
      </w:tblGrid>
      <w:tr w:rsidR="00497700" w14:paraId="0DEEF6F9" w14:textId="77777777" w:rsidTr="00432A57">
        <w:trPr>
          <w:trHeight w:val="89"/>
          <w:jc w:val="center"/>
        </w:trPr>
        <w:tc>
          <w:tcPr>
            <w:tcW w:w="1271" w:type="dxa"/>
          </w:tcPr>
          <w:p w14:paraId="0A9BD05E" w14:textId="77777777" w:rsidR="00497700" w:rsidRDefault="00497700" w:rsidP="00432A57">
            <w:pPr>
              <w:spacing w:after="0" w:line="240" w:lineRule="auto"/>
              <w:jc w:val="center"/>
              <w:rPr>
                <w:lang w:eastAsia="en-US"/>
              </w:rPr>
            </w:pPr>
            <w:r>
              <w:rPr>
                <w:lang w:eastAsia="en-US"/>
              </w:rPr>
              <w:t>Frequency (GHz)</w:t>
            </w:r>
          </w:p>
        </w:tc>
        <w:tc>
          <w:tcPr>
            <w:tcW w:w="2410" w:type="dxa"/>
          </w:tcPr>
          <w:p w14:paraId="169563AB" w14:textId="77777777" w:rsidR="00497700" w:rsidRDefault="00497700" w:rsidP="00432A57">
            <w:pPr>
              <w:spacing w:after="0" w:line="240" w:lineRule="auto"/>
              <w:jc w:val="center"/>
              <w:rPr>
                <w:lang w:eastAsia="en-US"/>
              </w:rPr>
            </w:pPr>
            <w:r>
              <w:rPr>
                <w:lang w:eastAsia="en-US"/>
              </w:rPr>
              <w:t>standard deviation (dB)</w:t>
            </w:r>
          </w:p>
        </w:tc>
        <w:tc>
          <w:tcPr>
            <w:tcW w:w="2551" w:type="dxa"/>
          </w:tcPr>
          <w:p w14:paraId="7C1D4F77" w14:textId="77777777" w:rsidR="00497700" w:rsidRDefault="00497700" w:rsidP="00432A57">
            <w:pPr>
              <w:spacing w:after="0" w:line="240" w:lineRule="auto"/>
              <w:jc w:val="center"/>
              <w:rPr>
                <w:lang w:eastAsia="en-US"/>
              </w:rPr>
            </w:pPr>
            <w:r>
              <w:rPr>
                <w:lang w:eastAsia="en-US"/>
              </w:rPr>
              <w:t>mean of the deviations referred to P1 (dB)</w:t>
            </w:r>
          </w:p>
        </w:tc>
      </w:tr>
      <w:tr w:rsidR="00497700" w14:paraId="373DADDE" w14:textId="77777777" w:rsidTr="00432A57">
        <w:trPr>
          <w:trHeight w:val="132"/>
          <w:jc w:val="center"/>
        </w:trPr>
        <w:tc>
          <w:tcPr>
            <w:tcW w:w="1271" w:type="dxa"/>
          </w:tcPr>
          <w:p w14:paraId="238575A4" w14:textId="77777777" w:rsidR="00497700" w:rsidRDefault="00497700" w:rsidP="00432A57">
            <w:pPr>
              <w:spacing w:after="0" w:line="240" w:lineRule="auto"/>
              <w:jc w:val="center"/>
              <w:rPr>
                <w:lang w:eastAsia="en-US"/>
              </w:rPr>
            </w:pPr>
            <w:r>
              <w:rPr>
                <w:lang w:eastAsia="en-US"/>
              </w:rPr>
              <w:t>23.45</w:t>
            </w:r>
          </w:p>
        </w:tc>
        <w:tc>
          <w:tcPr>
            <w:tcW w:w="2410" w:type="dxa"/>
          </w:tcPr>
          <w:p w14:paraId="51FEDD7C" w14:textId="4107A509" w:rsidR="00497700" w:rsidRDefault="00497700" w:rsidP="00432A57">
            <w:pPr>
              <w:spacing w:after="0" w:line="240" w:lineRule="auto"/>
              <w:jc w:val="center"/>
              <w:rPr>
                <w:lang w:eastAsia="en-US"/>
              </w:rPr>
            </w:pPr>
            <w:r>
              <w:rPr>
                <w:lang w:eastAsia="en-US"/>
              </w:rPr>
              <w:t>0.43</w:t>
            </w:r>
          </w:p>
        </w:tc>
        <w:tc>
          <w:tcPr>
            <w:tcW w:w="2551" w:type="dxa"/>
          </w:tcPr>
          <w:p w14:paraId="3983ADC5" w14:textId="4DC61E0E" w:rsidR="00497700" w:rsidRDefault="00497700" w:rsidP="00432A57">
            <w:pPr>
              <w:spacing w:after="0" w:line="240" w:lineRule="auto"/>
              <w:jc w:val="center"/>
              <w:rPr>
                <w:lang w:eastAsia="en-US"/>
              </w:rPr>
            </w:pPr>
            <w:r>
              <w:rPr>
                <w:lang w:eastAsia="en-US"/>
              </w:rPr>
              <w:t>0.39</w:t>
            </w:r>
          </w:p>
        </w:tc>
      </w:tr>
      <w:tr w:rsidR="00497700" w14:paraId="6EB91F68" w14:textId="77777777" w:rsidTr="00432A57">
        <w:trPr>
          <w:jc w:val="center"/>
        </w:trPr>
        <w:tc>
          <w:tcPr>
            <w:tcW w:w="1271" w:type="dxa"/>
          </w:tcPr>
          <w:p w14:paraId="5443DFA9" w14:textId="77777777" w:rsidR="00497700" w:rsidRDefault="00497700" w:rsidP="00432A57">
            <w:pPr>
              <w:spacing w:after="0" w:line="240" w:lineRule="auto"/>
              <w:jc w:val="center"/>
              <w:rPr>
                <w:lang w:eastAsia="en-US"/>
              </w:rPr>
            </w:pPr>
            <w:r>
              <w:rPr>
                <w:lang w:eastAsia="en-US"/>
              </w:rPr>
              <w:t>32.125</w:t>
            </w:r>
          </w:p>
        </w:tc>
        <w:tc>
          <w:tcPr>
            <w:tcW w:w="2410" w:type="dxa"/>
          </w:tcPr>
          <w:p w14:paraId="4AE83135" w14:textId="121DE9CE" w:rsidR="00497700" w:rsidRDefault="00497700" w:rsidP="00432A57">
            <w:pPr>
              <w:spacing w:after="0" w:line="240" w:lineRule="auto"/>
              <w:jc w:val="center"/>
              <w:rPr>
                <w:lang w:eastAsia="en-US"/>
              </w:rPr>
            </w:pPr>
            <w:r>
              <w:rPr>
                <w:lang w:eastAsia="en-US"/>
              </w:rPr>
              <w:t>0.67</w:t>
            </w:r>
          </w:p>
        </w:tc>
        <w:tc>
          <w:tcPr>
            <w:tcW w:w="2551" w:type="dxa"/>
          </w:tcPr>
          <w:p w14:paraId="48B49DCA" w14:textId="66EC6AAC" w:rsidR="00497700" w:rsidRDefault="00497700" w:rsidP="00432A57">
            <w:pPr>
              <w:spacing w:after="0" w:line="240" w:lineRule="auto"/>
              <w:jc w:val="center"/>
              <w:rPr>
                <w:lang w:eastAsia="en-US"/>
              </w:rPr>
            </w:pPr>
            <w:r>
              <w:rPr>
                <w:lang w:eastAsia="en-US"/>
              </w:rPr>
              <w:t>0.81</w:t>
            </w:r>
          </w:p>
        </w:tc>
      </w:tr>
      <w:tr w:rsidR="00497700" w14:paraId="385D2546" w14:textId="77777777" w:rsidTr="00432A57">
        <w:trPr>
          <w:jc w:val="center"/>
        </w:trPr>
        <w:tc>
          <w:tcPr>
            <w:tcW w:w="1271" w:type="dxa"/>
          </w:tcPr>
          <w:p w14:paraId="4EF6C37B" w14:textId="77777777" w:rsidR="00497700" w:rsidRDefault="00497700" w:rsidP="00432A57">
            <w:pPr>
              <w:spacing w:after="0" w:line="240" w:lineRule="auto"/>
              <w:jc w:val="center"/>
              <w:rPr>
                <w:lang w:eastAsia="en-US"/>
              </w:rPr>
            </w:pPr>
            <w:r>
              <w:rPr>
                <w:lang w:eastAsia="en-US"/>
              </w:rPr>
              <w:t>40.8</w:t>
            </w:r>
          </w:p>
        </w:tc>
        <w:tc>
          <w:tcPr>
            <w:tcW w:w="2410" w:type="dxa"/>
          </w:tcPr>
          <w:p w14:paraId="6BB61255" w14:textId="18CE17F9" w:rsidR="00497700" w:rsidRDefault="00497700" w:rsidP="00432A57">
            <w:pPr>
              <w:spacing w:after="0" w:line="240" w:lineRule="auto"/>
              <w:jc w:val="center"/>
              <w:rPr>
                <w:lang w:eastAsia="en-US"/>
              </w:rPr>
            </w:pPr>
            <w:r>
              <w:rPr>
                <w:lang w:eastAsia="en-US"/>
              </w:rPr>
              <w:t>0.74</w:t>
            </w:r>
          </w:p>
        </w:tc>
        <w:tc>
          <w:tcPr>
            <w:tcW w:w="2551" w:type="dxa"/>
          </w:tcPr>
          <w:p w14:paraId="42EA401D" w14:textId="202976A5" w:rsidR="00497700" w:rsidRDefault="00497700" w:rsidP="00432A57">
            <w:pPr>
              <w:spacing w:after="0" w:line="240" w:lineRule="auto"/>
              <w:jc w:val="center"/>
              <w:rPr>
                <w:lang w:eastAsia="en-US"/>
              </w:rPr>
            </w:pPr>
            <w:r>
              <w:rPr>
                <w:lang w:eastAsia="en-US"/>
              </w:rPr>
              <w:t>1.24</w:t>
            </w:r>
          </w:p>
        </w:tc>
      </w:tr>
    </w:tbl>
    <w:p w14:paraId="207DAB7F" w14:textId="6FB9F0FF" w:rsidR="00F00728" w:rsidRDefault="00F00728" w:rsidP="008829FA">
      <w:pPr>
        <w:rPr>
          <w:lang w:eastAsia="en-US"/>
        </w:rPr>
      </w:pPr>
    </w:p>
    <w:p w14:paraId="4B5F506F" w14:textId="609F96C1" w:rsidR="007463C7" w:rsidRPr="00705286" w:rsidRDefault="007463C7" w:rsidP="008829FA">
      <w:pPr>
        <w:rPr>
          <w:b/>
          <w:lang w:eastAsia="en-US"/>
        </w:rPr>
      </w:pPr>
      <w:r w:rsidRPr="00705286">
        <w:rPr>
          <w:b/>
          <w:lang w:eastAsia="en-US"/>
        </w:rPr>
        <w:t>Observation 2: Although designed for a 15 cm quiet zone, the reflector may be used for a 30 cm quiet zone when slightly larger quality of quiet zone MUs are allowed resulting in smaller system footprints.</w:t>
      </w:r>
    </w:p>
    <w:p w14:paraId="3DF8D7D8" w14:textId="71906559" w:rsidR="00A00B9F" w:rsidRPr="00A00B9F" w:rsidRDefault="007463C7" w:rsidP="00A00B9F">
      <w:pPr>
        <w:rPr>
          <w:b/>
          <w:highlight w:val="yellow"/>
          <w:lang w:eastAsia="en-US"/>
        </w:rPr>
      </w:pPr>
      <w:r w:rsidRPr="00A00B9F">
        <w:rPr>
          <w:b/>
          <w:highlight w:val="yellow"/>
          <w:lang w:eastAsia="en-US"/>
        </w:rPr>
        <w:t xml:space="preserve">Proposal </w:t>
      </w:r>
      <w:r w:rsidR="00A20F66" w:rsidRPr="00A00B9F">
        <w:rPr>
          <w:b/>
          <w:highlight w:val="yellow"/>
          <w:lang w:eastAsia="en-US"/>
        </w:rPr>
        <w:t>4</w:t>
      </w:r>
      <w:r w:rsidRPr="00A00B9F">
        <w:rPr>
          <w:b/>
          <w:highlight w:val="yellow"/>
          <w:lang w:eastAsia="en-US"/>
        </w:rPr>
        <w:t xml:space="preserve">: </w:t>
      </w:r>
      <w:r w:rsidR="00A00B9F" w:rsidRPr="00A00B9F">
        <w:rPr>
          <w:b/>
          <w:highlight w:val="yellow"/>
          <w:lang w:eastAsia="en-US"/>
        </w:rPr>
        <w:t xml:space="preserve">For TRP and a quiet zone size of 30 cm, use a value of 0.7 dB for the standard deviation and 0.8 dB for the mean deviation of the quality of quiet zone MU contributor for 23.45 GHz to 40.8 GHz. </w:t>
      </w:r>
    </w:p>
    <w:bookmarkEnd w:id="0"/>
    <w:bookmarkEnd w:id="1"/>
    <w:p w14:paraId="23818B7E" w14:textId="52E67BFA" w:rsidR="00A00B9F" w:rsidRDefault="008979C6" w:rsidP="00A00B9F">
      <w:pPr>
        <w:rPr>
          <w:b/>
          <w:lang w:eastAsia="en-US"/>
        </w:rPr>
      </w:pPr>
      <w:r w:rsidRPr="00A00B9F">
        <w:rPr>
          <w:b/>
          <w:highlight w:val="yellow"/>
          <w:lang w:eastAsia="en-US"/>
        </w:rPr>
        <w:t xml:space="preserve">Proposal </w:t>
      </w:r>
      <w:r w:rsidR="00A20F66" w:rsidRPr="00A00B9F">
        <w:rPr>
          <w:b/>
          <w:highlight w:val="yellow"/>
          <w:lang w:eastAsia="en-US"/>
        </w:rPr>
        <w:t>5</w:t>
      </w:r>
      <w:r w:rsidRPr="00A00B9F">
        <w:rPr>
          <w:b/>
          <w:highlight w:val="yellow"/>
          <w:lang w:eastAsia="en-US"/>
        </w:rPr>
        <w:t xml:space="preserve">: </w:t>
      </w:r>
      <w:r w:rsidR="00A00B9F" w:rsidRPr="00A00B9F">
        <w:rPr>
          <w:b/>
          <w:highlight w:val="yellow"/>
          <w:lang w:eastAsia="en-US"/>
        </w:rPr>
        <w:t xml:space="preserve">For EIRP and a quiet zone size of 30 cm, use a value of 0.7 dB for the standard deviation and 0.8 dB for the mean deviation of the quality of quiet zone MU contributor for 23.45 GHz to </w:t>
      </w:r>
      <w:r w:rsidR="002D0A92">
        <w:rPr>
          <w:b/>
          <w:highlight w:val="yellow"/>
          <w:lang w:eastAsia="en-US"/>
        </w:rPr>
        <w:t>32.125</w:t>
      </w:r>
      <w:r w:rsidR="00A00B9F" w:rsidRPr="00A00B9F">
        <w:rPr>
          <w:b/>
          <w:highlight w:val="yellow"/>
          <w:lang w:eastAsia="en-US"/>
        </w:rPr>
        <w:t xml:space="preserve"> GHz and standard deviation = 0.8 dB and mean deviation = 1.2 dB for 32.125 GHz to 40.8 GHz.</w:t>
      </w:r>
    </w:p>
    <w:p w14:paraId="7F705E55" w14:textId="656C3BCF" w:rsidR="00AA56D9" w:rsidRPr="003B026C" w:rsidRDefault="00AA56D9" w:rsidP="00AA56D9">
      <w:pPr>
        <w:pStyle w:val="berschrift1"/>
        <w:rPr>
          <w:lang w:val="en-US"/>
        </w:rPr>
      </w:pPr>
      <w:r w:rsidRPr="003B026C">
        <w:rPr>
          <w:lang w:val="en-US"/>
        </w:rPr>
        <w:tab/>
        <w:t>Conclusion</w:t>
      </w:r>
    </w:p>
    <w:p w14:paraId="043F6814" w14:textId="5A899735" w:rsidR="00AA56D9" w:rsidRDefault="00D00445" w:rsidP="00AA56D9">
      <w:pPr>
        <w:rPr>
          <w:lang w:eastAsia="en-US"/>
        </w:rPr>
      </w:pPr>
      <w:r>
        <w:rPr>
          <w:lang w:eastAsia="en-US"/>
        </w:rPr>
        <w:t xml:space="preserve">In summary, the quality of the quiet zone for an IFF system </w:t>
      </w:r>
      <w:bookmarkStart w:id="2" w:name="_GoBack"/>
      <w:bookmarkEnd w:id="2"/>
      <w:r w:rsidR="00CE5E64" w:rsidRPr="00CE5E64">
        <w:rPr>
          <w:highlight w:val="yellow"/>
          <w:lang w:eastAsia="en-US"/>
        </w:rPr>
        <w:t>equipped with a wide-bandwidth feed antenna</w:t>
      </w:r>
      <w:r w:rsidR="00CE5E64">
        <w:rPr>
          <w:lang w:eastAsia="en-US"/>
        </w:rPr>
        <w:t xml:space="preserve"> </w:t>
      </w:r>
      <w:r>
        <w:rPr>
          <w:lang w:eastAsia="en-US"/>
        </w:rPr>
        <w:t>has been presented.</w:t>
      </w:r>
    </w:p>
    <w:p w14:paraId="010E5B3A" w14:textId="77777777" w:rsidR="00705286" w:rsidRDefault="00705286" w:rsidP="00705286">
      <w:pPr>
        <w:rPr>
          <w:b/>
          <w:lang w:eastAsia="en-US"/>
        </w:rPr>
      </w:pPr>
      <w:r w:rsidRPr="008979C6">
        <w:rPr>
          <w:b/>
          <w:lang w:eastAsia="en-US"/>
        </w:rPr>
        <w:t xml:space="preserve">Observation 1: The quality of quiet zone for IFF includes the </w:t>
      </w:r>
      <w:r>
        <w:rPr>
          <w:b/>
          <w:lang w:eastAsia="en-US"/>
        </w:rPr>
        <w:t xml:space="preserve">MU </w:t>
      </w:r>
      <w:r w:rsidRPr="008979C6">
        <w:rPr>
          <w:b/>
          <w:lang w:eastAsia="en-US"/>
        </w:rPr>
        <w:t>contribut</w:t>
      </w:r>
      <w:r>
        <w:rPr>
          <w:b/>
          <w:lang w:eastAsia="en-US"/>
        </w:rPr>
        <w:t>ors</w:t>
      </w:r>
      <w:r w:rsidRPr="008979C6">
        <w:rPr>
          <w:b/>
          <w:lang w:eastAsia="en-US"/>
        </w:rPr>
        <w:t xml:space="preserve"> </w:t>
      </w:r>
      <w:r>
        <w:rPr>
          <w:b/>
          <w:lang w:eastAsia="en-US"/>
        </w:rPr>
        <w:t xml:space="preserve">B.2.2.10 Influence of XPD and B.2.2.12 RF leakage (from measurement antenna to receiver/transmitter). </w:t>
      </w:r>
    </w:p>
    <w:p w14:paraId="2F13D2F6" w14:textId="77777777" w:rsidR="005337E7" w:rsidRPr="008979C6" w:rsidRDefault="005337E7" w:rsidP="005337E7">
      <w:pPr>
        <w:rPr>
          <w:b/>
          <w:lang w:eastAsia="en-US"/>
        </w:rPr>
      </w:pPr>
      <w:r>
        <w:rPr>
          <w:b/>
          <w:lang w:eastAsia="en-US"/>
        </w:rPr>
        <w:t xml:space="preserve">Proposal 1: Ensure that the MU contributors B2.2.10 Influence of XPD and B.2.2.12 RF leakage are not counted twice in the MU spread sheets of TR 38.903 [3] </w:t>
      </w:r>
      <w:r w:rsidRPr="005337E7">
        <w:rPr>
          <w:b/>
          <w:highlight w:val="yellow"/>
          <w:lang w:eastAsia="en-US"/>
        </w:rPr>
        <w:t>as they are included in the quality of quiet zone</w:t>
      </w:r>
      <w:r>
        <w:rPr>
          <w:b/>
          <w:lang w:eastAsia="en-US"/>
        </w:rPr>
        <w:t xml:space="preserve">. </w:t>
      </w:r>
    </w:p>
    <w:p w14:paraId="3B1FB704" w14:textId="77777777" w:rsidR="00043C77" w:rsidRPr="00A00B9F" w:rsidRDefault="00043C77" w:rsidP="00043C77">
      <w:pPr>
        <w:rPr>
          <w:b/>
          <w:highlight w:val="yellow"/>
          <w:lang w:eastAsia="en-US"/>
        </w:rPr>
      </w:pPr>
      <w:r w:rsidRPr="00A00B9F">
        <w:rPr>
          <w:b/>
          <w:highlight w:val="yellow"/>
          <w:lang w:eastAsia="en-US"/>
        </w:rPr>
        <w:t>Proposal 2: For TRP and a quiet zone size of 15 cm, use a value of 0.</w:t>
      </w:r>
      <w:r>
        <w:rPr>
          <w:b/>
          <w:highlight w:val="yellow"/>
          <w:lang w:eastAsia="en-US"/>
        </w:rPr>
        <w:t>4</w:t>
      </w:r>
      <w:r w:rsidRPr="00A00B9F">
        <w:rPr>
          <w:b/>
          <w:highlight w:val="yellow"/>
          <w:lang w:eastAsia="en-US"/>
        </w:rPr>
        <w:t xml:space="preserve"> dB for the standard deviation and 0.</w:t>
      </w:r>
      <w:r>
        <w:rPr>
          <w:b/>
          <w:highlight w:val="yellow"/>
          <w:lang w:eastAsia="en-US"/>
        </w:rPr>
        <w:t>6</w:t>
      </w:r>
      <w:r w:rsidRPr="00A00B9F">
        <w:rPr>
          <w:b/>
          <w:highlight w:val="yellow"/>
          <w:lang w:eastAsia="en-US"/>
        </w:rPr>
        <w:t xml:space="preserve"> dB for the mean deviation of the quality of quiet zone MU </w:t>
      </w:r>
      <w:r w:rsidRPr="00A00B9F">
        <w:rPr>
          <w:b/>
          <w:highlight w:val="yellow"/>
          <w:lang w:eastAsia="en-US"/>
        </w:rPr>
        <w:lastRenderedPageBreak/>
        <w:t>contributor for 23.45 GHz to 32.125 GHz</w:t>
      </w:r>
      <w:r>
        <w:rPr>
          <w:b/>
          <w:highlight w:val="yellow"/>
          <w:lang w:eastAsia="en-US"/>
        </w:rPr>
        <w:t xml:space="preserve"> and </w:t>
      </w:r>
      <w:r w:rsidRPr="00A00B9F">
        <w:rPr>
          <w:b/>
          <w:highlight w:val="yellow"/>
          <w:lang w:eastAsia="en-US"/>
        </w:rPr>
        <w:t xml:space="preserve">standard deviation = 0.6 dB </w:t>
      </w:r>
      <w:r>
        <w:rPr>
          <w:b/>
          <w:highlight w:val="yellow"/>
          <w:lang w:eastAsia="en-US"/>
        </w:rPr>
        <w:t xml:space="preserve">and mean deviation = 0.6 </w:t>
      </w:r>
      <w:r w:rsidRPr="00A00B9F">
        <w:rPr>
          <w:b/>
          <w:highlight w:val="yellow"/>
          <w:lang w:eastAsia="en-US"/>
        </w:rPr>
        <w:t>dB for 32.125 GHz to 40.8 GHz</w:t>
      </w:r>
      <w:r>
        <w:rPr>
          <w:b/>
          <w:highlight w:val="yellow"/>
          <w:lang w:eastAsia="en-US"/>
        </w:rPr>
        <w:t>.</w:t>
      </w:r>
    </w:p>
    <w:p w14:paraId="19074A49" w14:textId="77777777" w:rsidR="0067274C" w:rsidRDefault="0067274C" w:rsidP="0067274C">
      <w:pPr>
        <w:rPr>
          <w:b/>
          <w:lang w:eastAsia="en-US"/>
        </w:rPr>
      </w:pPr>
      <w:r w:rsidRPr="00A00B9F">
        <w:rPr>
          <w:b/>
          <w:highlight w:val="yellow"/>
          <w:lang w:eastAsia="en-US"/>
        </w:rPr>
        <w:t>Proposal 3: For EIRP and a quiet zone size of 15 cm, use a value of 0.</w:t>
      </w:r>
      <w:r>
        <w:rPr>
          <w:b/>
          <w:highlight w:val="yellow"/>
          <w:lang w:eastAsia="en-US"/>
        </w:rPr>
        <w:t>4</w:t>
      </w:r>
      <w:r w:rsidRPr="00A00B9F">
        <w:rPr>
          <w:b/>
          <w:highlight w:val="yellow"/>
          <w:lang w:eastAsia="en-US"/>
        </w:rPr>
        <w:t xml:space="preserve"> dB for the standard deviation and 0.6 dB for the mean deviation of the quality of quiet zone MU contributor for 23.45 GHz to 32.125 GHz and standard deviation = 0.6 dB and mean deviation = 1</w:t>
      </w:r>
      <w:r>
        <w:rPr>
          <w:b/>
          <w:highlight w:val="yellow"/>
          <w:lang w:eastAsia="en-US"/>
        </w:rPr>
        <w:t xml:space="preserve">.0 </w:t>
      </w:r>
      <w:r w:rsidRPr="00A00B9F">
        <w:rPr>
          <w:b/>
          <w:highlight w:val="yellow"/>
          <w:lang w:eastAsia="en-US"/>
        </w:rPr>
        <w:t>dB for 32.125 GHz to 40.8 GHz.</w:t>
      </w:r>
      <w:r>
        <w:rPr>
          <w:b/>
          <w:lang w:eastAsia="en-US"/>
        </w:rPr>
        <w:t xml:space="preserve"> </w:t>
      </w:r>
    </w:p>
    <w:p w14:paraId="55F2BF21" w14:textId="77777777" w:rsidR="00A20F66" w:rsidRPr="00705286" w:rsidRDefault="00A20F66" w:rsidP="00A20F66">
      <w:pPr>
        <w:rPr>
          <w:b/>
          <w:lang w:eastAsia="en-US"/>
        </w:rPr>
      </w:pPr>
      <w:r w:rsidRPr="00705286">
        <w:rPr>
          <w:b/>
          <w:lang w:eastAsia="en-US"/>
        </w:rPr>
        <w:t>Observation 2: Although designed for a 15 cm quiet zone, the reflector may be used for a 30 cm quiet zone when slightly larger quality of quiet zone MUs are allowed resulting in smaller system footprints.</w:t>
      </w:r>
    </w:p>
    <w:p w14:paraId="2F76A262" w14:textId="77777777" w:rsidR="0067274C" w:rsidRPr="00A00B9F" w:rsidRDefault="0067274C" w:rsidP="0067274C">
      <w:pPr>
        <w:rPr>
          <w:b/>
          <w:highlight w:val="yellow"/>
          <w:lang w:eastAsia="en-US"/>
        </w:rPr>
      </w:pPr>
      <w:r w:rsidRPr="00A00B9F">
        <w:rPr>
          <w:b/>
          <w:highlight w:val="yellow"/>
          <w:lang w:eastAsia="en-US"/>
        </w:rPr>
        <w:t xml:space="preserve">Proposal 4: For TRP and a quiet zone size of 30 cm, use a value of 0.7 dB for the standard deviation and 0.8 dB for the mean deviation of the quality of quiet zone MU contributor for 23.45 GHz to 40.8 GHz. </w:t>
      </w:r>
    </w:p>
    <w:p w14:paraId="754053DA" w14:textId="6070E6E3" w:rsidR="0067274C" w:rsidRDefault="0067274C" w:rsidP="0067274C">
      <w:pPr>
        <w:rPr>
          <w:b/>
          <w:lang w:eastAsia="en-US"/>
        </w:rPr>
      </w:pPr>
      <w:r w:rsidRPr="00A00B9F">
        <w:rPr>
          <w:b/>
          <w:highlight w:val="yellow"/>
          <w:lang w:eastAsia="en-US"/>
        </w:rPr>
        <w:t xml:space="preserve">Proposal 5: For EIRP and a quiet zone size of 30 cm, use a value of 0.7 dB for the standard deviation and 0.8 dB for the mean deviation of the quality of quiet zone MU contributor for 23.45 GHz to </w:t>
      </w:r>
      <w:r w:rsidR="0062354F">
        <w:rPr>
          <w:b/>
          <w:highlight w:val="yellow"/>
          <w:lang w:eastAsia="en-US"/>
        </w:rPr>
        <w:t>32.125</w:t>
      </w:r>
      <w:r w:rsidRPr="00A00B9F">
        <w:rPr>
          <w:b/>
          <w:highlight w:val="yellow"/>
          <w:lang w:eastAsia="en-US"/>
        </w:rPr>
        <w:t xml:space="preserve"> GHz and standard deviation = 0.8 dB and mean deviation = 1.2 dB for 32.125 GHz to 40.8 GHz.</w:t>
      </w:r>
    </w:p>
    <w:p w14:paraId="127FB6B7" w14:textId="77777777" w:rsidR="00062ECE" w:rsidRPr="003B026C" w:rsidRDefault="00062ECE" w:rsidP="00062ECE">
      <w:pPr>
        <w:rPr>
          <w:lang w:eastAsia="en-US"/>
        </w:rPr>
      </w:pPr>
    </w:p>
    <w:p w14:paraId="0B2C4AC6" w14:textId="4895ED80" w:rsidR="00AF2B58" w:rsidRPr="003B026C" w:rsidRDefault="00AF2B58" w:rsidP="00AF2B58">
      <w:pPr>
        <w:pStyle w:val="berschrift1"/>
        <w:numPr>
          <w:ilvl w:val="0"/>
          <w:numId w:val="0"/>
        </w:numPr>
        <w:ind w:left="432" w:hanging="432"/>
        <w:rPr>
          <w:rFonts w:cs="Arial"/>
          <w:lang w:val="en-US"/>
        </w:rPr>
      </w:pPr>
      <w:bookmarkStart w:id="3" w:name="_Ref473660868"/>
      <w:bookmarkStart w:id="4" w:name="_Ref473660708"/>
      <w:bookmarkStart w:id="5" w:name="OLE_LINK6"/>
      <w:bookmarkStart w:id="6" w:name="OLE_LINK7"/>
      <w:r w:rsidRPr="003B026C">
        <w:rPr>
          <w:rFonts w:cs="Arial"/>
          <w:lang w:val="en-US"/>
        </w:rPr>
        <w:t>References</w:t>
      </w:r>
    </w:p>
    <w:p w14:paraId="6AED9EF5" w14:textId="0B6E4AEE" w:rsidR="00E446E8" w:rsidRDefault="00062ECE" w:rsidP="00E446E8">
      <w:pPr>
        <w:pStyle w:val="Listenabsatz"/>
        <w:numPr>
          <w:ilvl w:val="0"/>
          <w:numId w:val="46"/>
        </w:numPr>
        <w:spacing w:after="0" w:line="240" w:lineRule="auto"/>
        <w:rPr>
          <w:lang w:val="en-GB"/>
        </w:rPr>
      </w:pPr>
      <w:r>
        <w:rPr>
          <w:lang w:val="en-GB"/>
        </w:rPr>
        <w:t>T</w:t>
      </w:r>
      <w:r w:rsidR="00BF3FA7">
        <w:rPr>
          <w:lang w:val="en-GB"/>
        </w:rPr>
        <w:t>R</w:t>
      </w:r>
      <w:r>
        <w:rPr>
          <w:lang w:val="en-GB"/>
        </w:rPr>
        <w:t xml:space="preserve"> 38.</w:t>
      </w:r>
      <w:r w:rsidR="00BF3FA7">
        <w:rPr>
          <w:lang w:val="en-GB"/>
        </w:rPr>
        <w:t>810,</w:t>
      </w:r>
      <w:r>
        <w:rPr>
          <w:lang w:val="en-GB"/>
        </w:rPr>
        <w:t xml:space="preserve"> V1</w:t>
      </w:r>
      <w:r w:rsidR="00BF3FA7">
        <w:rPr>
          <w:lang w:val="en-GB"/>
        </w:rPr>
        <w:t>6</w:t>
      </w:r>
      <w:r>
        <w:rPr>
          <w:lang w:val="en-GB"/>
        </w:rPr>
        <w:t>.</w:t>
      </w:r>
      <w:r w:rsidR="00BF3FA7">
        <w:rPr>
          <w:lang w:val="en-GB"/>
        </w:rPr>
        <w:t>0</w:t>
      </w:r>
      <w:r>
        <w:rPr>
          <w:lang w:val="en-GB"/>
        </w:rPr>
        <w:t>.0 ,</w:t>
      </w:r>
      <w:r w:rsidR="004F7D33" w:rsidRPr="003B026C">
        <w:rPr>
          <w:noProof/>
          <w:lang w:val="en-US"/>
        </w:rPr>
        <w:t xml:space="preserve"> </w:t>
      </w:r>
      <w:r w:rsidR="00E446E8" w:rsidRPr="003B026C">
        <w:rPr>
          <w:lang w:val="en-GB"/>
        </w:rPr>
        <w:t xml:space="preserve">3GPP TSG RAN WG4, </w:t>
      </w:r>
      <w:r w:rsidR="00BF3FA7">
        <w:rPr>
          <w:lang w:val="en-GB"/>
        </w:rPr>
        <w:t>September</w:t>
      </w:r>
      <w:r w:rsidR="00E446E8" w:rsidRPr="003B026C">
        <w:rPr>
          <w:lang w:val="en-GB"/>
        </w:rPr>
        <w:t xml:space="preserve"> 2018</w:t>
      </w:r>
    </w:p>
    <w:p w14:paraId="6E92B159" w14:textId="43175CD2" w:rsidR="00BF3FA7" w:rsidRDefault="00BF3FA7" w:rsidP="00BF3FA7">
      <w:pPr>
        <w:pStyle w:val="Listenabsatz"/>
        <w:numPr>
          <w:ilvl w:val="0"/>
          <w:numId w:val="46"/>
        </w:numPr>
        <w:spacing w:after="0" w:line="240" w:lineRule="auto"/>
        <w:rPr>
          <w:lang w:val="en-US"/>
        </w:rPr>
      </w:pPr>
      <w:r>
        <w:rPr>
          <w:lang w:val="en-GB"/>
        </w:rPr>
        <w:t xml:space="preserve">R5-185179, </w:t>
      </w:r>
      <w:r w:rsidRPr="00BF3FA7">
        <w:rPr>
          <w:lang w:val="en-GB"/>
        </w:rPr>
        <w:t>Meeting notes of offline discussion on FR2 UE common test setup</w:t>
      </w:r>
      <w:r>
        <w:rPr>
          <w:lang w:val="en-GB"/>
        </w:rPr>
        <w:t xml:space="preserve">, Anritsu, 3GPP TSG RAN WG4, </w:t>
      </w:r>
      <w:r>
        <w:rPr>
          <w:lang w:val="en-US"/>
        </w:rPr>
        <w:t>RAN5 #80, Gothenburg, Sweden, August 2018</w:t>
      </w:r>
    </w:p>
    <w:p w14:paraId="7250BB81" w14:textId="67139FB9" w:rsidR="00A20F66" w:rsidRDefault="00A20F66" w:rsidP="00BF3FA7">
      <w:pPr>
        <w:pStyle w:val="Listenabsatz"/>
        <w:numPr>
          <w:ilvl w:val="0"/>
          <w:numId w:val="46"/>
        </w:numPr>
        <w:spacing w:after="0" w:line="240" w:lineRule="auto"/>
        <w:rPr>
          <w:lang w:val="en-US"/>
        </w:rPr>
      </w:pPr>
      <w:r>
        <w:rPr>
          <w:lang w:val="en-US"/>
        </w:rPr>
        <w:t>TR 38.903, V15.0.0, 3GPP TSG RAN WG5, September 2018</w:t>
      </w:r>
    </w:p>
    <w:bookmarkEnd w:id="3"/>
    <w:bookmarkEnd w:id="4"/>
    <w:bookmarkEnd w:id="5"/>
    <w:bookmarkEnd w:id="6"/>
    <w:p w14:paraId="3F053A66" w14:textId="0C3F7631" w:rsidR="001B137F" w:rsidRPr="00936FA1" w:rsidRDefault="001B137F">
      <w:pPr>
        <w:spacing w:after="0" w:line="240" w:lineRule="auto"/>
        <w:rPr>
          <w:lang w:val="en-GB"/>
        </w:rPr>
      </w:pPr>
    </w:p>
    <w:sectPr w:rsidR="001B137F" w:rsidRPr="00936FA1"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FEBC58" w14:textId="77777777" w:rsidR="00B92145" w:rsidRDefault="00B92145" w:rsidP="00371D7D">
      <w:r>
        <w:separator/>
      </w:r>
    </w:p>
  </w:endnote>
  <w:endnote w:type="continuationSeparator" w:id="0">
    <w:p w14:paraId="0700E9A6" w14:textId="77777777" w:rsidR="00B92145" w:rsidRDefault="00B92145"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panose1 w:val="02070309020205020404"/>
    <w:charset w:val="02"/>
    <w:family w:val="modern"/>
    <w:pitch w:val="fixed"/>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432A57" w:rsidRDefault="00432A5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53674FB1" w:rsidR="00432A57" w:rsidRPr="000E7B1E" w:rsidRDefault="00432A57"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CE5E64">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432A57" w:rsidRDefault="00432A5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8D7FF1" w14:textId="77777777" w:rsidR="00B92145" w:rsidRDefault="00B92145" w:rsidP="00371D7D">
      <w:r>
        <w:separator/>
      </w:r>
    </w:p>
  </w:footnote>
  <w:footnote w:type="continuationSeparator" w:id="0">
    <w:p w14:paraId="3BF07F1D" w14:textId="77777777" w:rsidR="00B92145" w:rsidRDefault="00B92145"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432A57" w:rsidRDefault="00432A5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432A57" w:rsidRDefault="00432A5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432A57" w:rsidRDefault="00432A5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3"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7"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20"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4"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4"/>
  </w:num>
  <w:num w:numId="3">
    <w:abstractNumId w:val="19"/>
  </w:num>
  <w:num w:numId="4">
    <w:abstractNumId w:val="31"/>
  </w:num>
  <w:num w:numId="5">
    <w:abstractNumId w:val="19"/>
  </w:num>
  <w:num w:numId="6">
    <w:abstractNumId w:val="19"/>
  </w:num>
  <w:num w:numId="7">
    <w:abstractNumId w:val="19"/>
  </w:num>
  <w:num w:numId="8">
    <w:abstractNumId w:val="19"/>
  </w:num>
  <w:num w:numId="9">
    <w:abstractNumId w:val="18"/>
  </w:num>
  <w:num w:numId="10">
    <w:abstractNumId w:val="20"/>
  </w:num>
  <w:num w:numId="11">
    <w:abstractNumId w:val="17"/>
  </w:num>
  <w:num w:numId="12">
    <w:abstractNumId w:val="16"/>
  </w:num>
  <w:num w:numId="13">
    <w:abstractNumId w:val="34"/>
  </w:num>
  <w:num w:numId="14">
    <w:abstractNumId w:val="19"/>
  </w:num>
  <w:num w:numId="15">
    <w:abstractNumId w:val="27"/>
  </w:num>
  <w:num w:numId="16">
    <w:abstractNumId w:val="13"/>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2"/>
  </w:num>
  <w:num w:numId="23">
    <w:abstractNumId w:val="19"/>
  </w:num>
  <w:num w:numId="24">
    <w:abstractNumId w:val="11"/>
  </w:num>
  <w:num w:numId="25">
    <w:abstractNumId w:val="12"/>
  </w:num>
  <w:num w:numId="26">
    <w:abstractNumId w:val="19"/>
  </w:num>
  <w:num w:numId="27">
    <w:abstractNumId w:val="21"/>
  </w:num>
  <w:num w:numId="28">
    <w:abstractNumId w:val="4"/>
  </w:num>
  <w:num w:numId="29">
    <w:abstractNumId w:val="25"/>
  </w:num>
  <w:num w:numId="30">
    <w:abstractNumId w:val="30"/>
  </w:num>
  <w:num w:numId="31">
    <w:abstractNumId w:val="29"/>
  </w:num>
  <w:num w:numId="32">
    <w:abstractNumId w:val="8"/>
  </w:num>
  <w:num w:numId="33">
    <w:abstractNumId w:val="36"/>
  </w:num>
  <w:num w:numId="34">
    <w:abstractNumId w:val="3"/>
  </w:num>
  <w:num w:numId="35">
    <w:abstractNumId w:val="15"/>
  </w:num>
  <w:num w:numId="36">
    <w:abstractNumId w:val="28"/>
  </w:num>
  <w:num w:numId="37">
    <w:abstractNumId w:val="23"/>
  </w:num>
  <w:num w:numId="38">
    <w:abstractNumId w:val="35"/>
  </w:num>
  <w:num w:numId="39">
    <w:abstractNumId w:val="26"/>
  </w:num>
  <w:num w:numId="40">
    <w:abstractNumId w:val="33"/>
  </w:num>
  <w:num w:numId="41">
    <w:abstractNumId w:val="24"/>
  </w:num>
  <w:num w:numId="42">
    <w:abstractNumId w:val="19"/>
  </w:num>
  <w:num w:numId="43">
    <w:abstractNumId w:val="19"/>
  </w:num>
  <w:num w:numId="44">
    <w:abstractNumId w:val="2"/>
  </w:num>
  <w:num w:numId="45">
    <w:abstractNumId w:val="7"/>
  </w:num>
  <w:num w:numId="46">
    <w:abstractNumId w:val="9"/>
  </w:num>
  <w:num w:numId="47">
    <w:abstractNumId w:val="19"/>
  </w:num>
  <w:num w:numId="48">
    <w:abstractNumId w:val="19"/>
  </w:num>
  <w:num w:numId="49">
    <w:abstractNumId w:val="19"/>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3C77"/>
    <w:rsid w:val="00044187"/>
    <w:rsid w:val="0004547C"/>
    <w:rsid w:val="00045894"/>
    <w:rsid w:val="00047428"/>
    <w:rsid w:val="00047E75"/>
    <w:rsid w:val="00052708"/>
    <w:rsid w:val="0006221F"/>
    <w:rsid w:val="00062ECE"/>
    <w:rsid w:val="00063C4D"/>
    <w:rsid w:val="000652BE"/>
    <w:rsid w:val="0006555A"/>
    <w:rsid w:val="00075135"/>
    <w:rsid w:val="000762B7"/>
    <w:rsid w:val="00076F79"/>
    <w:rsid w:val="000814E4"/>
    <w:rsid w:val="00081C35"/>
    <w:rsid w:val="000828B5"/>
    <w:rsid w:val="00082A5B"/>
    <w:rsid w:val="00092C97"/>
    <w:rsid w:val="000953D1"/>
    <w:rsid w:val="00096AAF"/>
    <w:rsid w:val="000A0514"/>
    <w:rsid w:val="000A262C"/>
    <w:rsid w:val="000A2FB0"/>
    <w:rsid w:val="000A2FE2"/>
    <w:rsid w:val="000A3642"/>
    <w:rsid w:val="000A6628"/>
    <w:rsid w:val="000B0F54"/>
    <w:rsid w:val="000B3739"/>
    <w:rsid w:val="000B663A"/>
    <w:rsid w:val="000B7FC7"/>
    <w:rsid w:val="000C194F"/>
    <w:rsid w:val="000C2BDD"/>
    <w:rsid w:val="000C46D4"/>
    <w:rsid w:val="000C4F6E"/>
    <w:rsid w:val="000C7078"/>
    <w:rsid w:val="000C7318"/>
    <w:rsid w:val="000C7565"/>
    <w:rsid w:val="000D0908"/>
    <w:rsid w:val="000D0E8E"/>
    <w:rsid w:val="000D0EAF"/>
    <w:rsid w:val="000D347D"/>
    <w:rsid w:val="000D4A19"/>
    <w:rsid w:val="000D68AB"/>
    <w:rsid w:val="000D79F1"/>
    <w:rsid w:val="000E00AB"/>
    <w:rsid w:val="000E0AB9"/>
    <w:rsid w:val="000E444E"/>
    <w:rsid w:val="000E75B0"/>
    <w:rsid w:val="000E7B1E"/>
    <w:rsid w:val="000F07A2"/>
    <w:rsid w:val="000F2169"/>
    <w:rsid w:val="000F6436"/>
    <w:rsid w:val="00100D39"/>
    <w:rsid w:val="0010446A"/>
    <w:rsid w:val="0010547E"/>
    <w:rsid w:val="0010792C"/>
    <w:rsid w:val="00110B13"/>
    <w:rsid w:val="001114C1"/>
    <w:rsid w:val="00112164"/>
    <w:rsid w:val="0011352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5A32"/>
    <w:rsid w:val="001E0A0B"/>
    <w:rsid w:val="001E18D8"/>
    <w:rsid w:val="001E190C"/>
    <w:rsid w:val="001E540B"/>
    <w:rsid w:val="001E5776"/>
    <w:rsid w:val="001E73BE"/>
    <w:rsid w:val="001E744C"/>
    <w:rsid w:val="001E7B76"/>
    <w:rsid w:val="001F0673"/>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5E41"/>
    <w:rsid w:val="002A659B"/>
    <w:rsid w:val="002B111A"/>
    <w:rsid w:val="002B3C4B"/>
    <w:rsid w:val="002B5523"/>
    <w:rsid w:val="002B5708"/>
    <w:rsid w:val="002B5F65"/>
    <w:rsid w:val="002B7900"/>
    <w:rsid w:val="002C098B"/>
    <w:rsid w:val="002C3A4F"/>
    <w:rsid w:val="002C48E9"/>
    <w:rsid w:val="002C75A4"/>
    <w:rsid w:val="002D0A92"/>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27814"/>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38EA"/>
    <w:rsid w:val="00384B70"/>
    <w:rsid w:val="0038590F"/>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D0E5C"/>
    <w:rsid w:val="003D34A5"/>
    <w:rsid w:val="003D51E6"/>
    <w:rsid w:val="003D602B"/>
    <w:rsid w:val="003D7784"/>
    <w:rsid w:val="003D7B2C"/>
    <w:rsid w:val="003E12B0"/>
    <w:rsid w:val="003E2565"/>
    <w:rsid w:val="003E5779"/>
    <w:rsid w:val="003F0E6E"/>
    <w:rsid w:val="003F1A78"/>
    <w:rsid w:val="003F2D2A"/>
    <w:rsid w:val="004002C9"/>
    <w:rsid w:val="004033E9"/>
    <w:rsid w:val="004120AE"/>
    <w:rsid w:val="004137F2"/>
    <w:rsid w:val="004149E9"/>
    <w:rsid w:val="00420D58"/>
    <w:rsid w:val="00423201"/>
    <w:rsid w:val="004257E2"/>
    <w:rsid w:val="0043036D"/>
    <w:rsid w:val="004324FB"/>
    <w:rsid w:val="004325A5"/>
    <w:rsid w:val="00432A57"/>
    <w:rsid w:val="004340EB"/>
    <w:rsid w:val="00434839"/>
    <w:rsid w:val="004372AD"/>
    <w:rsid w:val="00442027"/>
    <w:rsid w:val="00442365"/>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97700"/>
    <w:rsid w:val="004A04A5"/>
    <w:rsid w:val="004A2F58"/>
    <w:rsid w:val="004A3D93"/>
    <w:rsid w:val="004A4033"/>
    <w:rsid w:val="004A5815"/>
    <w:rsid w:val="004A60F7"/>
    <w:rsid w:val="004A79DF"/>
    <w:rsid w:val="004B0619"/>
    <w:rsid w:val="004B0EE9"/>
    <w:rsid w:val="004B4C96"/>
    <w:rsid w:val="004C0EA3"/>
    <w:rsid w:val="004C6EB0"/>
    <w:rsid w:val="004D1D11"/>
    <w:rsid w:val="004D2DCF"/>
    <w:rsid w:val="004D54FF"/>
    <w:rsid w:val="004D74F3"/>
    <w:rsid w:val="004E1ED2"/>
    <w:rsid w:val="004E2925"/>
    <w:rsid w:val="004E3358"/>
    <w:rsid w:val="004E3BCC"/>
    <w:rsid w:val="004E4907"/>
    <w:rsid w:val="004F17EE"/>
    <w:rsid w:val="004F27A7"/>
    <w:rsid w:val="004F36A7"/>
    <w:rsid w:val="004F4D21"/>
    <w:rsid w:val="004F593F"/>
    <w:rsid w:val="004F697D"/>
    <w:rsid w:val="004F7D33"/>
    <w:rsid w:val="00502740"/>
    <w:rsid w:val="00502B4D"/>
    <w:rsid w:val="00506FB3"/>
    <w:rsid w:val="005078E7"/>
    <w:rsid w:val="00510F85"/>
    <w:rsid w:val="00514970"/>
    <w:rsid w:val="00516D9C"/>
    <w:rsid w:val="00517DEB"/>
    <w:rsid w:val="005208AB"/>
    <w:rsid w:val="00521C12"/>
    <w:rsid w:val="0052278C"/>
    <w:rsid w:val="005242EF"/>
    <w:rsid w:val="005247E8"/>
    <w:rsid w:val="0052481A"/>
    <w:rsid w:val="00524CE0"/>
    <w:rsid w:val="00525441"/>
    <w:rsid w:val="005337E7"/>
    <w:rsid w:val="00533FBD"/>
    <w:rsid w:val="00534096"/>
    <w:rsid w:val="005346EC"/>
    <w:rsid w:val="005356CB"/>
    <w:rsid w:val="005374EC"/>
    <w:rsid w:val="00537AA4"/>
    <w:rsid w:val="00542862"/>
    <w:rsid w:val="005430C7"/>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83905"/>
    <w:rsid w:val="00586465"/>
    <w:rsid w:val="00590023"/>
    <w:rsid w:val="00594B54"/>
    <w:rsid w:val="005964E4"/>
    <w:rsid w:val="005A04AB"/>
    <w:rsid w:val="005A09F0"/>
    <w:rsid w:val="005C1279"/>
    <w:rsid w:val="005C517E"/>
    <w:rsid w:val="005C5210"/>
    <w:rsid w:val="005C576D"/>
    <w:rsid w:val="005C72FD"/>
    <w:rsid w:val="005C7C01"/>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354F"/>
    <w:rsid w:val="00626288"/>
    <w:rsid w:val="00627053"/>
    <w:rsid w:val="00630334"/>
    <w:rsid w:val="0063332F"/>
    <w:rsid w:val="00633773"/>
    <w:rsid w:val="0063395B"/>
    <w:rsid w:val="00634D07"/>
    <w:rsid w:val="00635940"/>
    <w:rsid w:val="006366AD"/>
    <w:rsid w:val="00640E01"/>
    <w:rsid w:val="00641EC6"/>
    <w:rsid w:val="00645237"/>
    <w:rsid w:val="006466C9"/>
    <w:rsid w:val="006476FB"/>
    <w:rsid w:val="00654178"/>
    <w:rsid w:val="0066196E"/>
    <w:rsid w:val="00664F1A"/>
    <w:rsid w:val="00667A9C"/>
    <w:rsid w:val="0067274C"/>
    <w:rsid w:val="00674D96"/>
    <w:rsid w:val="00675624"/>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5286"/>
    <w:rsid w:val="00706CB9"/>
    <w:rsid w:val="00707FFC"/>
    <w:rsid w:val="00712BF6"/>
    <w:rsid w:val="00712C12"/>
    <w:rsid w:val="007138CB"/>
    <w:rsid w:val="007174F8"/>
    <w:rsid w:val="00720003"/>
    <w:rsid w:val="00720FB7"/>
    <w:rsid w:val="00724558"/>
    <w:rsid w:val="007246E4"/>
    <w:rsid w:val="00725DCB"/>
    <w:rsid w:val="00731B27"/>
    <w:rsid w:val="007327DA"/>
    <w:rsid w:val="00733D87"/>
    <w:rsid w:val="00735D1F"/>
    <w:rsid w:val="00744D61"/>
    <w:rsid w:val="007463C7"/>
    <w:rsid w:val="00746B62"/>
    <w:rsid w:val="007477D2"/>
    <w:rsid w:val="00747FFE"/>
    <w:rsid w:val="007510C4"/>
    <w:rsid w:val="00757245"/>
    <w:rsid w:val="00757D7D"/>
    <w:rsid w:val="00761AED"/>
    <w:rsid w:val="007636DE"/>
    <w:rsid w:val="0076378D"/>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C0E2A"/>
    <w:rsid w:val="007C221F"/>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4BCE"/>
    <w:rsid w:val="007F63B8"/>
    <w:rsid w:val="00802A02"/>
    <w:rsid w:val="00802F82"/>
    <w:rsid w:val="00803ADC"/>
    <w:rsid w:val="00803D35"/>
    <w:rsid w:val="008064E5"/>
    <w:rsid w:val="00811A7C"/>
    <w:rsid w:val="00814716"/>
    <w:rsid w:val="00815718"/>
    <w:rsid w:val="008159B1"/>
    <w:rsid w:val="008211B6"/>
    <w:rsid w:val="008222DF"/>
    <w:rsid w:val="00825388"/>
    <w:rsid w:val="00825E45"/>
    <w:rsid w:val="00831E58"/>
    <w:rsid w:val="0083554F"/>
    <w:rsid w:val="00836315"/>
    <w:rsid w:val="00837DB8"/>
    <w:rsid w:val="00844428"/>
    <w:rsid w:val="00845732"/>
    <w:rsid w:val="00846CBA"/>
    <w:rsid w:val="008577F0"/>
    <w:rsid w:val="00860D0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780"/>
    <w:rsid w:val="008829FA"/>
    <w:rsid w:val="00882F18"/>
    <w:rsid w:val="00883852"/>
    <w:rsid w:val="00887996"/>
    <w:rsid w:val="008919FA"/>
    <w:rsid w:val="00894205"/>
    <w:rsid w:val="008948CA"/>
    <w:rsid w:val="008966F6"/>
    <w:rsid w:val="00896FEC"/>
    <w:rsid w:val="008979C6"/>
    <w:rsid w:val="008A4F4D"/>
    <w:rsid w:val="008A5259"/>
    <w:rsid w:val="008B0514"/>
    <w:rsid w:val="008B12D0"/>
    <w:rsid w:val="008B3E44"/>
    <w:rsid w:val="008B3F63"/>
    <w:rsid w:val="008B4257"/>
    <w:rsid w:val="008B7827"/>
    <w:rsid w:val="008B7853"/>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9106F9"/>
    <w:rsid w:val="00911FD9"/>
    <w:rsid w:val="00912CC8"/>
    <w:rsid w:val="00914141"/>
    <w:rsid w:val="00916784"/>
    <w:rsid w:val="00916934"/>
    <w:rsid w:val="00917E2E"/>
    <w:rsid w:val="009228BE"/>
    <w:rsid w:val="009247D4"/>
    <w:rsid w:val="00930456"/>
    <w:rsid w:val="009316B5"/>
    <w:rsid w:val="00931A88"/>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3F3"/>
    <w:rsid w:val="0099496E"/>
    <w:rsid w:val="009955B7"/>
    <w:rsid w:val="00997680"/>
    <w:rsid w:val="009A1270"/>
    <w:rsid w:val="009A246E"/>
    <w:rsid w:val="009B1044"/>
    <w:rsid w:val="009B225E"/>
    <w:rsid w:val="009B3EA0"/>
    <w:rsid w:val="009C0CB9"/>
    <w:rsid w:val="009C2950"/>
    <w:rsid w:val="009C51E1"/>
    <w:rsid w:val="009C536C"/>
    <w:rsid w:val="009C5C15"/>
    <w:rsid w:val="009C6FFB"/>
    <w:rsid w:val="009D2231"/>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2C05"/>
    <w:rsid w:val="009F31B9"/>
    <w:rsid w:val="009F71B3"/>
    <w:rsid w:val="00A00B9F"/>
    <w:rsid w:val="00A01054"/>
    <w:rsid w:val="00A02E39"/>
    <w:rsid w:val="00A04379"/>
    <w:rsid w:val="00A04558"/>
    <w:rsid w:val="00A04F9C"/>
    <w:rsid w:val="00A0759F"/>
    <w:rsid w:val="00A130E4"/>
    <w:rsid w:val="00A14EBC"/>
    <w:rsid w:val="00A15983"/>
    <w:rsid w:val="00A20F66"/>
    <w:rsid w:val="00A2208A"/>
    <w:rsid w:val="00A24150"/>
    <w:rsid w:val="00A32070"/>
    <w:rsid w:val="00A33D3A"/>
    <w:rsid w:val="00A353DC"/>
    <w:rsid w:val="00A40BA0"/>
    <w:rsid w:val="00A42596"/>
    <w:rsid w:val="00A43DCF"/>
    <w:rsid w:val="00A44C02"/>
    <w:rsid w:val="00A4537F"/>
    <w:rsid w:val="00A55AF2"/>
    <w:rsid w:val="00A57C7C"/>
    <w:rsid w:val="00A60934"/>
    <w:rsid w:val="00A62362"/>
    <w:rsid w:val="00A62817"/>
    <w:rsid w:val="00A63A28"/>
    <w:rsid w:val="00A63C08"/>
    <w:rsid w:val="00A64C86"/>
    <w:rsid w:val="00A67985"/>
    <w:rsid w:val="00A6798F"/>
    <w:rsid w:val="00A717D1"/>
    <w:rsid w:val="00A7325E"/>
    <w:rsid w:val="00A76246"/>
    <w:rsid w:val="00A76DBE"/>
    <w:rsid w:val="00A76DEB"/>
    <w:rsid w:val="00A777EC"/>
    <w:rsid w:val="00A802ED"/>
    <w:rsid w:val="00A8311E"/>
    <w:rsid w:val="00A87C7B"/>
    <w:rsid w:val="00A95090"/>
    <w:rsid w:val="00A9514D"/>
    <w:rsid w:val="00A96690"/>
    <w:rsid w:val="00A97BF8"/>
    <w:rsid w:val="00AA04CC"/>
    <w:rsid w:val="00AA0D07"/>
    <w:rsid w:val="00AA0F9B"/>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2145"/>
    <w:rsid w:val="00B92991"/>
    <w:rsid w:val="00B92F4B"/>
    <w:rsid w:val="00B96064"/>
    <w:rsid w:val="00B9692F"/>
    <w:rsid w:val="00B97827"/>
    <w:rsid w:val="00BA1072"/>
    <w:rsid w:val="00BB0FAA"/>
    <w:rsid w:val="00BB1E78"/>
    <w:rsid w:val="00BB2E34"/>
    <w:rsid w:val="00BB2F5E"/>
    <w:rsid w:val="00BB567F"/>
    <w:rsid w:val="00BB601B"/>
    <w:rsid w:val="00BB61DB"/>
    <w:rsid w:val="00BB6A4C"/>
    <w:rsid w:val="00BC0823"/>
    <w:rsid w:val="00BC0850"/>
    <w:rsid w:val="00BC08FC"/>
    <w:rsid w:val="00BD0D1A"/>
    <w:rsid w:val="00BD13E2"/>
    <w:rsid w:val="00BD1B6F"/>
    <w:rsid w:val="00BD2ECF"/>
    <w:rsid w:val="00BD4781"/>
    <w:rsid w:val="00BD55A2"/>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2E1"/>
    <w:rsid w:val="00C14F5D"/>
    <w:rsid w:val="00C22756"/>
    <w:rsid w:val="00C24153"/>
    <w:rsid w:val="00C25111"/>
    <w:rsid w:val="00C253B8"/>
    <w:rsid w:val="00C27A92"/>
    <w:rsid w:val="00C301A2"/>
    <w:rsid w:val="00C3037E"/>
    <w:rsid w:val="00C30491"/>
    <w:rsid w:val="00C30ED0"/>
    <w:rsid w:val="00C31E50"/>
    <w:rsid w:val="00C32F3C"/>
    <w:rsid w:val="00C34B92"/>
    <w:rsid w:val="00C34C4D"/>
    <w:rsid w:val="00C42A8B"/>
    <w:rsid w:val="00C42B0B"/>
    <w:rsid w:val="00C43A48"/>
    <w:rsid w:val="00C45B5A"/>
    <w:rsid w:val="00C47016"/>
    <w:rsid w:val="00C478DD"/>
    <w:rsid w:val="00C50026"/>
    <w:rsid w:val="00C5050C"/>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82C"/>
    <w:rsid w:val="00C85E97"/>
    <w:rsid w:val="00C94068"/>
    <w:rsid w:val="00C97B69"/>
    <w:rsid w:val="00CA1045"/>
    <w:rsid w:val="00CA2954"/>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5E64"/>
    <w:rsid w:val="00CE6A12"/>
    <w:rsid w:val="00CE7B33"/>
    <w:rsid w:val="00CF23C9"/>
    <w:rsid w:val="00CF3ECE"/>
    <w:rsid w:val="00CF41D2"/>
    <w:rsid w:val="00D0035A"/>
    <w:rsid w:val="00D00445"/>
    <w:rsid w:val="00D02305"/>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7826"/>
    <w:rsid w:val="00DA1520"/>
    <w:rsid w:val="00DA326D"/>
    <w:rsid w:val="00DA4015"/>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E25"/>
    <w:rsid w:val="00DE6819"/>
    <w:rsid w:val="00DF11A3"/>
    <w:rsid w:val="00DF19E8"/>
    <w:rsid w:val="00DF443F"/>
    <w:rsid w:val="00DF66C6"/>
    <w:rsid w:val="00E01FA1"/>
    <w:rsid w:val="00E03811"/>
    <w:rsid w:val="00E03F84"/>
    <w:rsid w:val="00E10AF0"/>
    <w:rsid w:val="00E10B00"/>
    <w:rsid w:val="00E11816"/>
    <w:rsid w:val="00E13759"/>
    <w:rsid w:val="00E13D12"/>
    <w:rsid w:val="00E15476"/>
    <w:rsid w:val="00E15AC0"/>
    <w:rsid w:val="00E15E59"/>
    <w:rsid w:val="00E173CA"/>
    <w:rsid w:val="00E17716"/>
    <w:rsid w:val="00E2017F"/>
    <w:rsid w:val="00E25B32"/>
    <w:rsid w:val="00E25BB0"/>
    <w:rsid w:val="00E25EF1"/>
    <w:rsid w:val="00E32C7A"/>
    <w:rsid w:val="00E33028"/>
    <w:rsid w:val="00E34070"/>
    <w:rsid w:val="00E35411"/>
    <w:rsid w:val="00E35ACC"/>
    <w:rsid w:val="00E37E67"/>
    <w:rsid w:val="00E4048A"/>
    <w:rsid w:val="00E408CF"/>
    <w:rsid w:val="00E41569"/>
    <w:rsid w:val="00E41929"/>
    <w:rsid w:val="00E42128"/>
    <w:rsid w:val="00E430A2"/>
    <w:rsid w:val="00E446E8"/>
    <w:rsid w:val="00E45AA7"/>
    <w:rsid w:val="00E50120"/>
    <w:rsid w:val="00E51BAD"/>
    <w:rsid w:val="00E52D1B"/>
    <w:rsid w:val="00E5457D"/>
    <w:rsid w:val="00E617F3"/>
    <w:rsid w:val="00E61903"/>
    <w:rsid w:val="00E66596"/>
    <w:rsid w:val="00E67A6F"/>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B21DE"/>
    <w:rsid w:val="00EB4866"/>
    <w:rsid w:val="00EB7838"/>
    <w:rsid w:val="00EB7CDF"/>
    <w:rsid w:val="00EC04F5"/>
    <w:rsid w:val="00EC0C9D"/>
    <w:rsid w:val="00EC1757"/>
    <w:rsid w:val="00EC5F39"/>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F0BCA"/>
    <w:rsid w:val="00EF1BF6"/>
    <w:rsid w:val="00F002EE"/>
    <w:rsid w:val="00F00728"/>
    <w:rsid w:val="00F012A7"/>
    <w:rsid w:val="00F0327E"/>
    <w:rsid w:val="00F0525C"/>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DE5B8-2C06-4FDD-B75A-E702A1075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1181</Words>
  <Characters>6736</Characters>
  <Application>Microsoft Office Word</Application>
  <DocSecurity>0</DocSecurity>
  <Lines>56</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7902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2018-10-10T08:10:00Z</dcterms:created>
  <dcterms:modified xsi:type="dcterms:W3CDTF">2018-10-10T08:21:00Z</dcterms:modified>
  <cp:category/>
</cp:coreProperties>
</file>